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8FCB" w14:textId="48AFA996" w:rsidR="004410B6" w:rsidRPr="005D1362" w:rsidRDefault="004410B6" w:rsidP="004410B6">
      <w:pPr>
        <w:jc w:val="right"/>
        <w:rPr>
          <w:rFonts w:ascii="Times New Roman" w:hAnsi="Times New Roman" w:cs="Times New Roman"/>
        </w:rPr>
      </w:pPr>
      <w:r w:rsidRPr="005D1362">
        <w:rPr>
          <w:rFonts w:ascii="Times New Roman" w:hAnsi="Times New Roman" w:cs="Times New Roman"/>
        </w:rPr>
        <w:t>Lisa kaasamise koosoleku kutsele</w:t>
      </w:r>
    </w:p>
    <w:p w14:paraId="7F128926" w14:textId="77777777" w:rsidR="004410B6" w:rsidRPr="005D1362" w:rsidRDefault="004410B6" w:rsidP="004410B6">
      <w:pPr>
        <w:jc w:val="center"/>
        <w:rPr>
          <w:rFonts w:ascii="Times New Roman" w:hAnsi="Times New Roman" w:cs="Times New Roman"/>
        </w:rPr>
      </w:pPr>
    </w:p>
    <w:p w14:paraId="3FB08803" w14:textId="4611C1EE" w:rsidR="009666A4" w:rsidRPr="005D1362" w:rsidRDefault="004410B6" w:rsidP="004410B6">
      <w:pPr>
        <w:jc w:val="center"/>
        <w:rPr>
          <w:rFonts w:ascii="Times New Roman" w:hAnsi="Times New Roman" w:cs="Times New Roman"/>
          <w:b/>
          <w:bCs/>
        </w:rPr>
      </w:pPr>
      <w:r w:rsidRPr="005D1362">
        <w:rPr>
          <w:rFonts w:ascii="Times New Roman" w:hAnsi="Times New Roman" w:cs="Times New Roman"/>
          <w:b/>
          <w:bCs/>
        </w:rPr>
        <w:t>Esmane ülevaade riigihangete seaduse olulisematest muudatusettepanekutest</w:t>
      </w:r>
    </w:p>
    <w:p w14:paraId="60706EC7" w14:textId="77777777" w:rsidR="00A06A66" w:rsidRPr="005D1362" w:rsidRDefault="00A06A66" w:rsidP="004410B6">
      <w:pPr>
        <w:jc w:val="center"/>
        <w:rPr>
          <w:rFonts w:ascii="Times New Roman" w:hAnsi="Times New Roman" w:cs="Times New Roman"/>
        </w:rPr>
      </w:pPr>
    </w:p>
    <w:p w14:paraId="3FFF6C5B" w14:textId="709746A1" w:rsidR="00A06A66" w:rsidRDefault="0F76C6CF" w:rsidP="000F432D">
      <w:pPr>
        <w:jc w:val="both"/>
        <w:rPr>
          <w:rFonts w:ascii="Times New Roman" w:hAnsi="Times New Roman"/>
        </w:rPr>
      </w:pPr>
      <w:r w:rsidRPr="39272936">
        <w:rPr>
          <w:rFonts w:ascii="Times New Roman" w:hAnsi="Times New Roman"/>
        </w:rPr>
        <w:t xml:space="preserve">2024. a </w:t>
      </w:r>
      <w:r w:rsidR="0EB76262" w:rsidRPr="39272936">
        <w:rPr>
          <w:rFonts w:ascii="Times New Roman" w:hAnsi="Times New Roman"/>
        </w:rPr>
        <w:t>analüüsis Ra</w:t>
      </w:r>
      <w:r w:rsidR="07810EE6" w:rsidRPr="39272936">
        <w:rPr>
          <w:rFonts w:ascii="Times New Roman" w:hAnsi="Times New Roman"/>
        </w:rPr>
        <w:t>handusministeerium</w:t>
      </w:r>
      <w:r w:rsidR="07392C4E" w:rsidRPr="39272936">
        <w:rPr>
          <w:rFonts w:ascii="Times New Roman" w:hAnsi="Times New Roman"/>
        </w:rPr>
        <w:t xml:space="preserve"> millised võimalused on riigihangete seaduse muutmiseks ning </w:t>
      </w:r>
      <w:r w:rsidR="000A149F">
        <w:rPr>
          <w:rFonts w:ascii="Times New Roman" w:hAnsi="Times New Roman"/>
        </w:rPr>
        <w:t>a</w:t>
      </w:r>
      <w:r w:rsidR="07392C4E" w:rsidRPr="39272936">
        <w:rPr>
          <w:rFonts w:ascii="Times New Roman" w:hAnsi="Times New Roman"/>
        </w:rPr>
        <w:t xml:space="preserve">nalüüsi tulemusel </w:t>
      </w:r>
      <w:r w:rsidR="07810EE6" w:rsidRPr="39272936">
        <w:rPr>
          <w:rFonts w:ascii="Times New Roman" w:hAnsi="Times New Roman"/>
        </w:rPr>
        <w:t xml:space="preserve">on kavas algatada </w:t>
      </w:r>
      <w:r w:rsidR="07392C4E" w:rsidRPr="39272936">
        <w:rPr>
          <w:rFonts w:ascii="Times New Roman" w:hAnsi="Times New Roman"/>
        </w:rPr>
        <w:t>seaduse muutmise eelnõu eesmärgiga vähendada hankijate töö- ja pakkujate halduskoormust.</w:t>
      </w:r>
    </w:p>
    <w:p w14:paraId="1A8E772E" w14:textId="77777777" w:rsidR="000F432D" w:rsidRPr="005D1362" w:rsidRDefault="000F432D" w:rsidP="000F432D">
      <w:pPr>
        <w:jc w:val="both"/>
        <w:rPr>
          <w:rFonts w:ascii="Times New Roman" w:hAnsi="Times New Roman" w:cs="Times New Roman"/>
        </w:rPr>
      </w:pPr>
    </w:p>
    <w:p w14:paraId="303EC62D" w14:textId="01F7534D" w:rsidR="002032EA" w:rsidRDefault="00A06A66" w:rsidP="000F432D">
      <w:pPr>
        <w:jc w:val="both"/>
        <w:rPr>
          <w:rFonts w:ascii="Times New Roman" w:hAnsi="Times New Roman"/>
        </w:rPr>
      </w:pPr>
      <w:r w:rsidRPr="00AF0614">
        <w:rPr>
          <w:rFonts w:ascii="Times New Roman" w:hAnsi="Times New Roman"/>
          <w:u w:val="single"/>
        </w:rPr>
        <w:t>Hetkeolukord</w:t>
      </w:r>
    </w:p>
    <w:p w14:paraId="5352B731" w14:textId="5F17D477" w:rsidR="00A06A66" w:rsidRDefault="00A06A66" w:rsidP="000F432D">
      <w:pPr>
        <w:jc w:val="both"/>
        <w:rPr>
          <w:rFonts w:ascii="Times New Roman" w:hAnsi="Times New Roman"/>
        </w:rPr>
      </w:pPr>
      <w:r>
        <w:rPr>
          <w:rFonts w:ascii="Times New Roman" w:hAnsi="Times New Roman"/>
        </w:rPr>
        <w:t>Eestis kehtivad riigihangete reeglid on suuremas osas üle võetud Euroopa Liidu riigihanke direktiividest. Direktiivide sätted kohalduvad alates rahvusvahelisest riigihanke piirmäärast.</w:t>
      </w:r>
    </w:p>
    <w:p w14:paraId="75D0ECA1" w14:textId="77777777" w:rsidR="00A06A66" w:rsidRDefault="00A06A66" w:rsidP="000F432D">
      <w:pPr>
        <w:jc w:val="both"/>
        <w:rPr>
          <w:rFonts w:ascii="Times New Roman" w:hAnsi="Times New Roman"/>
        </w:rPr>
      </w:pPr>
      <w:r>
        <w:rPr>
          <w:rFonts w:ascii="Times New Roman" w:hAnsi="Times New Roman"/>
        </w:rPr>
        <w:t>Riigihangete rahvusvahelised piirmäärad eurodes on järgmised:</w:t>
      </w:r>
    </w:p>
    <w:tbl>
      <w:tblPr>
        <w:tblStyle w:val="Kontuurtabel"/>
        <w:tblW w:w="9062" w:type="dxa"/>
        <w:tblLook w:val="04A0" w:firstRow="1" w:lastRow="0" w:firstColumn="1" w:lastColumn="0" w:noHBand="0" w:noVBand="1"/>
      </w:tblPr>
      <w:tblGrid>
        <w:gridCol w:w="2145"/>
        <w:gridCol w:w="1665"/>
        <w:gridCol w:w="1504"/>
        <w:gridCol w:w="2070"/>
        <w:gridCol w:w="1678"/>
      </w:tblGrid>
      <w:tr w:rsidR="00A06A66" w:rsidRPr="005D1362" w14:paraId="75C7D3A1" w14:textId="77777777" w:rsidTr="109182AC">
        <w:tc>
          <w:tcPr>
            <w:tcW w:w="2145" w:type="dxa"/>
          </w:tcPr>
          <w:p w14:paraId="4A732909" w14:textId="77777777" w:rsidR="00A06A66" w:rsidRPr="005D1362" w:rsidRDefault="00A06A66" w:rsidP="0051554F">
            <w:pPr>
              <w:ind w:right="320"/>
              <w:jc w:val="both"/>
              <w:rPr>
                <w:i/>
                <w:iCs/>
                <w:sz w:val="24"/>
                <w:szCs w:val="24"/>
              </w:rPr>
            </w:pPr>
            <w:bookmarkStart w:id="0" w:name="_Hlk188614532"/>
          </w:p>
        </w:tc>
        <w:tc>
          <w:tcPr>
            <w:tcW w:w="1665" w:type="dxa"/>
          </w:tcPr>
          <w:p w14:paraId="3EFA1410" w14:textId="77777777" w:rsidR="00A06A66" w:rsidRPr="00E83216" w:rsidRDefault="00A06A66" w:rsidP="0051554F">
            <w:pPr>
              <w:ind w:right="320"/>
              <w:jc w:val="both"/>
              <w:rPr>
                <w:sz w:val="24"/>
                <w:szCs w:val="24"/>
              </w:rPr>
            </w:pPr>
            <w:r>
              <w:t>Riik või riigiasutus</w:t>
            </w:r>
          </w:p>
        </w:tc>
        <w:tc>
          <w:tcPr>
            <w:tcW w:w="1504" w:type="dxa"/>
          </w:tcPr>
          <w:p w14:paraId="1AE082D4" w14:textId="77777777" w:rsidR="00A06A66" w:rsidRPr="00E83216" w:rsidRDefault="00A06A66" w:rsidP="0051554F">
            <w:pPr>
              <w:jc w:val="both"/>
              <w:rPr>
                <w:sz w:val="24"/>
                <w:szCs w:val="24"/>
              </w:rPr>
            </w:pPr>
            <w:r>
              <w:t>Teised hankijad</w:t>
            </w:r>
          </w:p>
        </w:tc>
        <w:tc>
          <w:tcPr>
            <w:tcW w:w="2070" w:type="dxa"/>
          </w:tcPr>
          <w:p w14:paraId="3207D0C3" w14:textId="77777777" w:rsidR="00A06A66" w:rsidRPr="00E83216" w:rsidRDefault="00A06A66" w:rsidP="0051554F">
            <w:pPr>
              <w:jc w:val="both"/>
              <w:rPr>
                <w:sz w:val="24"/>
                <w:szCs w:val="24"/>
              </w:rPr>
            </w:pPr>
            <w:r>
              <w:t>Võrgustikusektori hankija</w:t>
            </w:r>
          </w:p>
        </w:tc>
        <w:tc>
          <w:tcPr>
            <w:tcW w:w="1678" w:type="dxa"/>
          </w:tcPr>
          <w:p w14:paraId="70E0A932" w14:textId="77777777" w:rsidR="00A06A66" w:rsidRPr="00E83216" w:rsidRDefault="00A06A66" w:rsidP="0051554F">
            <w:pPr>
              <w:jc w:val="both"/>
              <w:rPr>
                <w:sz w:val="24"/>
                <w:szCs w:val="24"/>
              </w:rPr>
            </w:pPr>
            <w:r>
              <w:t>Kaitse- ja julgeoleku sektor</w:t>
            </w:r>
          </w:p>
        </w:tc>
      </w:tr>
      <w:tr w:rsidR="00A06A66" w:rsidRPr="005D1362" w14:paraId="74EC1643" w14:textId="77777777" w:rsidTr="109182AC">
        <w:tc>
          <w:tcPr>
            <w:tcW w:w="2145" w:type="dxa"/>
          </w:tcPr>
          <w:p w14:paraId="0E0EBA0F" w14:textId="77777777" w:rsidR="00A06A66" w:rsidRPr="005D1362" w:rsidRDefault="00A06A66" w:rsidP="0051554F">
            <w:pPr>
              <w:ind w:right="320"/>
              <w:jc w:val="both"/>
              <w:rPr>
                <w:sz w:val="24"/>
                <w:szCs w:val="24"/>
              </w:rPr>
            </w:pPr>
            <w:r w:rsidRPr="005D1362">
              <w:rPr>
                <w:sz w:val="24"/>
                <w:szCs w:val="24"/>
              </w:rPr>
              <w:t>Asjad/teenused</w:t>
            </w:r>
          </w:p>
        </w:tc>
        <w:tc>
          <w:tcPr>
            <w:tcW w:w="1665" w:type="dxa"/>
          </w:tcPr>
          <w:p w14:paraId="66047A95" w14:textId="77777777" w:rsidR="00A06A66" w:rsidRPr="005D1362" w:rsidRDefault="00A06A66" w:rsidP="0051554F">
            <w:pPr>
              <w:ind w:right="320"/>
              <w:jc w:val="both"/>
              <w:rPr>
                <w:sz w:val="24"/>
                <w:szCs w:val="24"/>
              </w:rPr>
            </w:pPr>
            <w:r w:rsidRPr="005D1362">
              <w:rPr>
                <w:sz w:val="24"/>
                <w:szCs w:val="24"/>
              </w:rPr>
              <w:t>143 000</w:t>
            </w:r>
          </w:p>
        </w:tc>
        <w:tc>
          <w:tcPr>
            <w:tcW w:w="1504" w:type="dxa"/>
          </w:tcPr>
          <w:p w14:paraId="54DF9B9E" w14:textId="77777777" w:rsidR="00A06A66" w:rsidRPr="005D1362" w:rsidRDefault="00A06A66" w:rsidP="0051554F">
            <w:pPr>
              <w:jc w:val="both"/>
              <w:rPr>
                <w:sz w:val="24"/>
                <w:szCs w:val="24"/>
              </w:rPr>
            </w:pPr>
            <w:r w:rsidRPr="005D1362">
              <w:rPr>
                <w:sz w:val="24"/>
                <w:szCs w:val="24"/>
              </w:rPr>
              <w:t>221 000</w:t>
            </w:r>
          </w:p>
        </w:tc>
        <w:tc>
          <w:tcPr>
            <w:tcW w:w="2070" w:type="dxa"/>
          </w:tcPr>
          <w:p w14:paraId="2161CF0C" w14:textId="77777777" w:rsidR="00A06A66" w:rsidRPr="005D1362" w:rsidRDefault="00A06A66" w:rsidP="0051554F">
            <w:pPr>
              <w:jc w:val="both"/>
              <w:rPr>
                <w:sz w:val="24"/>
                <w:szCs w:val="24"/>
              </w:rPr>
            </w:pPr>
            <w:r w:rsidRPr="005D1362">
              <w:rPr>
                <w:sz w:val="24"/>
                <w:szCs w:val="24"/>
              </w:rPr>
              <w:t>443 000</w:t>
            </w:r>
          </w:p>
        </w:tc>
        <w:tc>
          <w:tcPr>
            <w:tcW w:w="1678" w:type="dxa"/>
          </w:tcPr>
          <w:p w14:paraId="4050C03F" w14:textId="77777777" w:rsidR="00A06A66" w:rsidRPr="005D1362" w:rsidRDefault="00A06A66" w:rsidP="0051554F">
            <w:pPr>
              <w:jc w:val="both"/>
              <w:rPr>
                <w:sz w:val="24"/>
                <w:szCs w:val="24"/>
              </w:rPr>
            </w:pPr>
            <w:r w:rsidRPr="005D1362">
              <w:rPr>
                <w:sz w:val="24"/>
                <w:szCs w:val="24"/>
              </w:rPr>
              <w:t>443 000</w:t>
            </w:r>
          </w:p>
        </w:tc>
      </w:tr>
      <w:tr w:rsidR="00A06A66" w:rsidRPr="005D1362" w14:paraId="12610076" w14:textId="77777777" w:rsidTr="109182AC">
        <w:tc>
          <w:tcPr>
            <w:tcW w:w="2145" w:type="dxa"/>
          </w:tcPr>
          <w:p w14:paraId="201EFF54" w14:textId="77777777" w:rsidR="00A06A66" w:rsidRPr="005D1362" w:rsidRDefault="00A06A66" w:rsidP="0051554F">
            <w:pPr>
              <w:ind w:right="320"/>
              <w:jc w:val="both"/>
              <w:rPr>
                <w:sz w:val="24"/>
                <w:szCs w:val="24"/>
              </w:rPr>
            </w:pPr>
            <w:r w:rsidRPr="005D1362">
              <w:rPr>
                <w:sz w:val="24"/>
                <w:szCs w:val="24"/>
              </w:rPr>
              <w:t>Ehitustööd</w:t>
            </w:r>
          </w:p>
        </w:tc>
        <w:tc>
          <w:tcPr>
            <w:tcW w:w="6917" w:type="dxa"/>
            <w:gridSpan w:val="4"/>
          </w:tcPr>
          <w:p w14:paraId="6035FE13" w14:textId="77777777" w:rsidR="00A06A66" w:rsidRPr="005D1362" w:rsidRDefault="00A06A66" w:rsidP="0051554F">
            <w:pPr>
              <w:ind w:right="320"/>
              <w:jc w:val="center"/>
              <w:rPr>
                <w:sz w:val="24"/>
                <w:szCs w:val="24"/>
              </w:rPr>
            </w:pPr>
            <w:r w:rsidRPr="005D1362">
              <w:rPr>
                <w:sz w:val="24"/>
                <w:szCs w:val="24"/>
              </w:rPr>
              <w:t>5 538 000</w:t>
            </w:r>
          </w:p>
        </w:tc>
      </w:tr>
      <w:tr w:rsidR="00A06A66" w:rsidRPr="005D1362" w14:paraId="0816B045" w14:textId="77777777" w:rsidTr="109182AC">
        <w:tc>
          <w:tcPr>
            <w:tcW w:w="2145" w:type="dxa"/>
          </w:tcPr>
          <w:p w14:paraId="2E5B7560" w14:textId="77777777" w:rsidR="00A06A66" w:rsidRPr="005D1362" w:rsidRDefault="00A06A66" w:rsidP="0051554F">
            <w:pPr>
              <w:ind w:right="320"/>
              <w:jc w:val="both"/>
              <w:rPr>
                <w:sz w:val="24"/>
                <w:szCs w:val="24"/>
              </w:rPr>
            </w:pPr>
            <w:r w:rsidRPr="005D1362">
              <w:rPr>
                <w:sz w:val="24"/>
                <w:szCs w:val="24"/>
              </w:rPr>
              <w:t>Sotsiaal- ja eriteenused</w:t>
            </w:r>
          </w:p>
        </w:tc>
        <w:tc>
          <w:tcPr>
            <w:tcW w:w="3169" w:type="dxa"/>
            <w:gridSpan w:val="2"/>
          </w:tcPr>
          <w:p w14:paraId="05B2BACC" w14:textId="77777777" w:rsidR="00A06A66" w:rsidRPr="005D1362" w:rsidRDefault="00A06A66" w:rsidP="0051554F">
            <w:pPr>
              <w:ind w:right="320"/>
              <w:jc w:val="both"/>
              <w:rPr>
                <w:sz w:val="24"/>
                <w:szCs w:val="24"/>
              </w:rPr>
            </w:pPr>
            <w:r w:rsidRPr="005D1362">
              <w:rPr>
                <w:sz w:val="24"/>
                <w:szCs w:val="24"/>
              </w:rPr>
              <w:t>750 000</w:t>
            </w:r>
          </w:p>
        </w:tc>
        <w:tc>
          <w:tcPr>
            <w:tcW w:w="2070" w:type="dxa"/>
          </w:tcPr>
          <w:p w14:paraId="34B4CC32" w14:textId="77777777" w:rsidR="00A06A66" w:rsidRPr="005D1362" w:rsidRDefault="00A06A66" w:rsidP="0051554F">
            <w:pPr>
              <w:jc w:val="both"/>
              <w:rPr>
                <w:sz w:val="24"/>
                <w:szCs w:val="24"/>
              </w:rPr>
            </w:pPr>
            <w:r w:rsidRPr="005D1362">
              <w:rPr>
                <w:sz w:val="24"/>
                <w:szCs w:val="24"/>
              </w:rPr>
              <w:t>1 000 000</w:t>
            </w:r>
          </w:p>
        </w:tc>
        <w:tc>
          <w:tcPr>
            <w:tcW w:w="1678" w:type="dxa"/>
          </w:tcPr>
          <w:p w14:paraId="170A7AD3" w14:textId="77777777" w:rsidR="00A06A66" w:rsidRPr="005D1362" w:rsidRDefault="00A06A66" w:rsidP="0051554F">
            <w:pPr>
              <w:jc w:val="both"/>
              <w:rPr>
                <w:sz w:val="24"/>
                <w:szCs w:val="24"/>
              </w:rPr>
            </w:pPr>
            <w:r w:rsidRPr="005D1362">
              <w:rPr>
                <w:sz w:val="24"/>
                <w:szCs w:val="24"/>
              </w:rPr>
              <w:t>443 000</w:t>
            </w:r>
          </w:p>
        </w:tc>
      </w:tr>
      <w:tr w:rsidR="00A06A66" w:rsidRPr="005D1362" w14:paraId="1855F918" w14:textId="77777777" w:rsidTr="109182AC">
        <w:tc>
          <w:tcPr>
            <w:tcW w:w="2145" w:type="dxa"/>
          </w:tcPr>
          <w:p w14:paraId="697502B5" w14:textId="77777777" w:rsidR="00A06A66" w:rsidRPr="005D1362" w:rsidRDefault="00A06A66" w:rsidP="0051554F">
            <w:pPr>
              <w:ind w:right="320"/>
              <w:jc w:val="both"/>
              <w:rPr>
                <w:sz w:val="24"/>
                <w:szCs w:val="24"/>
              </w:rPr>
            </w:pPr>
            <w:r w:rsidRPr="005D1362">
              <w:rPr>
                <w:sz w:val="24"/>
                <w:szCs w:val="24"/>
              </w:rPr>
              <w:t>Kontsessioonid</w:t>
            </w:r>
          </w:p>
        </w:tc>
        <w:tc>
          <w:tcPr>
            <w:tcW w:w="6917" w:type="dxa"/>
            <w:gridSpan w:val="4"/>
          </w:tcPr>
          <w:p w14:paraId="48F5CA12" w14:textId="07115C80" w:rsidR="00A06A66" w:rsidRPr="005D1362" w:rsidRDefault="00A06A66" w:rsidP="109182AC">
            <w:pPr>
              <w:ind w:right="320"/>
              <w:jc w:val="center"/>
              <w:rPr>
                <w:sz w:val="24"/>
                <w:szCs w:val="24"/>
              </w:rPr>
            </w:pPr>
            <w:r w:rsidRPr="109182AC">
              <w:rPr>
                <w:sz w:val="24"/>
                <w:szCs w:val="24"/>
              </w:rPr>
              <w:t xml:space="preserve"> 5 538 000</w:t>
            </w:r>
          </w:p>
        </w:tc>
      </w:tr>
      <w:bookmarkEnd w:id="0"/>
    </w:tbl>
    <w:p w14:paraId="3541DE6B" w14:textId="77777777" w:rsidR="00A06A66" w:rsidRDefault="00A06A66" w:rsidP="00A06A66">
      <w:pPr>
        <w:jc w:val="both"/>
        <w:rPr>
          <w:rFonts w:ascii="Times New Roman" w:hAnsi="Times New Roman"/>
        </w:rPr>
      </w:pPr>
    </w:p>
    <w:p w14:paraId="3AFE7A66" w14:textId="6C545F89" w:rsidR="00A06A66" w:rsidRDefault="00A06A66" w:rsidP="000F432D">
      <w:pPr>
        <w:spacing w:before="240" w:after="0"/>
        <w:jc w:val="both"/>
        <w:rPr>
          <w:rFonts w:ascii="Times New Roman" w:hAnsi="Times New Roman"/>
        </w:rPr>
      </w:pPr>
      <w:r w:rsidRPr="109182AC">
        <w:rPr>
          <w:rFonts w:ascii="Times New Roman" w:hAnsi="Times New Roman"/>
        </w:rPr>
        <w:t xml:space="preserve">Arvestades Euroopa Liidu õiguse esimuslikkust, on </w:t>
      </w:r>
      <w:r w:rsidR="00910307" w:rsidRPr="109182AC">
        <w:rPr>
          <w:rFonts w:ascii="Times New Roman" w:hAnsi="Times New Roman"/>
        </w:rPr>
        <w:t xml:space="preserve">Eestil </w:t>
      </w:r>
      <w:r w:rsidRPr="109182AC">
        <w:rPr>
          <w:rFonts w:ascii="Times New Roman" w:hAnsi="Times New Roman"/>
        </w:rPr>
        <w:t>kaalutlusruum riigihangete seaduse muutmisel osas, mis:</w:t>
      </w:r>
    </w:p>
    <w:p w14:paraId="4FAA787D" w14:textId="77777777" w:rsidR="00A06A66" w:rsidRDefault="00A06A66" w:rsidP="000F432D">
      <w:pPr>
        <w:pStyle w:val="Loendilik"/>
        <w:numPr>
          <w:ilvl w:val="0"/>
          <w:numId w:val="3"/>
        </w:numPr>
        <w:spacing w:before="240" w:after="0" w:line="240" w:lineRule="auto"/>
        <w:jc w:val="both"/>
        <w:rPr>
          <w:rFonts w:ascii="Times New Roman" w:hAnsi="Times New Roman"/>
        </w:rPr>
      </w:pPr>
      <w:r w:rsidRPr="00EC2CFC">
        <w:rPr>
          <w:rFonts w:ascii="Times New Roman" w:hAnsi="Times New Roman"/>
        </w:rPr>
        <w:t xml:space="preserve">reguleerib alla </w:t>
      </w:r>
      <w:r>
        <w:rPr>
          <w:rFonts w:ascii="Times New Roman" w:hAnsi="Times New Roman"/>
        </w:rPr>
        <w:t>eeltoodud</w:t>
      </w:r>
      <w:r w:rsidRPr="00EC2CFC">
        <w:rPr>
          <w:rFonts w:ascii="Times New Roman" w:hAnsi="Times New Roman"/>
        </w:rPr>
        <w:t xml:space="preserve"> piirmäärasid jäävaid hankeid</w:t>
      </w:r>
      <w:r>
        <w:rPr>
          <w:rFonts w:ascii="Times New Roman" w:hAnsi="Times New Roman"/>
        </w:rPr>
        <w:t>;</w:t>
      </w:r>
    </w:p>
    <w:p w14:paraId="59DD40A8" w14:textId="77777777" w:rsidR="00A06A66" w:rsidRDefault="00A06A66" w:rsidP="000F432D">
      <w:pPr>
        <w:pStyle w:val="Loendilik"/>
        <w:numPr>
          <w:ilvl w:val="0"/>
          <w:numId w:val="3"/>
        </w:numPr>
        <w:spacing w:before="240" w:after="0" w:line="240" w:lineRule="auto"/>
        <w:jc w:val="both"/>
        <w:rPr>
          <w:rFonts w:ascii="Times New Roman" w:hAnsi="Times New Roman"/>
        </w:rPr>
      </w:pPr>
      <w:r>
        <w:rPr>
          <w:rFonts w:ascii="Times New Roman" w:hAnsi="Times New Roman"/>
        </w:rPr>
        <w:t>on sätestatud direktiividest rangemalt;</w:t>
      </w:r>
    </w:p>
    <w:p w14:paraId="42E275CE" w14:textId="05A604E7" w:rsidR="00A06A66" w:rsidRPr="000F432D" w:rsidRDefault="00A06A66" w:rsidP="000F432D">
      <w:pPr>
        <w:pStyle w:val="Loendilik"/>
        <w:numPr>
          <w:ilvl w:val="0"/>
          <w:numId w:val="3"/>
        </w:numPr>
        <w:spacing w:before="240" w:after="0" w:line="240" w:lineRule="auto"/>
        <w:jc w:val="both"/>
        <w:rPr>
          <w:rFonts w:ascii="Times New Roman" w:hAnsi="Times New Roman"/>
        </w:rPr>
      </w:pPr>
      <w:r>
        <w:rPr>
          <w:rFonts w:ascii="Times New Roman" w:hAnsi="Times New Roman"/>
        </w:rPr>
        <w:t xml:space="preserve">on direktiivide kohaselt jäetud liikmesriigi otsustada. </w:t>
      </w:r>
    </w:p>
    <w:p w14:paraId="04CE425F" w14:textId="77777777" w:rsidR="00A06A66" w:rsidRDefault="00A06A66" w:rsidP="000F432D">
      <w:pPr>
        <w:spacing w:before="240" w:after="0"/>
        <w:jc w:val="both"/>
        <w:rPr>
          <w:rFonts w:ascii="Times New Roman" w:hAnsi="Times New Roman"/>
        </w:rPr>
      </w:pPr>
      <w:r>
        <w:rPr>
          <w:rFonts w:ascii="Times New Roman" w:hAnsi="Times New Roman"/>
        </w:rPr>
        <w:t>Eestis kehtib lisaks rahvusvahelisele piirmäärale kaks siseriiklikku riigihangete piirmäära:</w:t>
      </w:r>
    </w:p>
    <w:p w14:paraId="77D4E484" w14:textId="77777777" w:rsidR="00A06A66" w:rsidRDefault="00A06A66" w:rsidP="000F432D">
      <w:pPr>
        <w:pStyle w:val="Loendilik"/>
        <w:numPr>
          <w:ilvl w:val="0"/>
          <w:numId w:val="4"/>
        </w:numPr>
        <w:spacing w:before="240" w:after="0" w:line="240" w:lineRule="auto"/>
        <w:jc w:val="both"/>
        <w:rPr>
          <w:rFonts w:ascii="Times New Roman" w:hAnsi="Times New Roman"/>
        </w:rPr>
      </w:pPr>
      <w:r w:rsidRPr="00683D88">
        <w:rPr>
          <w:rFonts w:ascii="Times New Roman" w:hAnsi="Times New Roman"/>
        </w:rPr>
        <w:t>riigihanke piirmäär</w:t>
      </w:r>
      <w:r>
        <w:rPr>
          <w:rFonts w:ascii="Times New Roman" w:hAnsi="Times New Roman"/>
        </w:rPr>
        <w:t>;</w:t>
      </w:r>
    </w:p>
    <w:p w14:paraId="2F6EDB94" w14:textId="19DB463C" w:rsidR="00A06A66" w:rsidRPr="000F432D" w:rsidRDefault="00A06A66" w:rsidP="000F432D">
      <w:pPr>
        <w:pStyle w:val="Loendilik"/>
        <w:numPr>
          <w:ilvl w:val="0"/>
          <w:numId w:val="4"/>
        </w:numPr>
        <w:spacing w:before="240" w:after="0" w:line="240" w:lineRule="auto"/>
        <w:jc w:val="both"/>
        <w:rPr>
          <w:rFonts w:ascii="Times New Roman" w:hAnsi="Times New Roman"/>
        </w:rPr>
      </w:pPr>
      <w:r>
        <w:rPr>
          <w:rFonts w:ascii="Times New Roman" w:hAnsi="Times New Roman"/>
        </w:rPr>
        <w:t>lihthanke piirmäär.</w:t>
      </w:r>
    </w:p>
    <w:p w14:paraId="1FD52134" w14:textId="61E41E8A" w:rsidR="00A06A66" w:rsidRDefault="00A06A66" w:rsidP="000F432D">
      <w:pPr>
        <w:spacing w:before="240" w:after="0"/>
        <w:ind w:left="60"/>
        <w:jc w:val="both"/>
        <w:rPr>
          <w:rFonts w:ascii="Times New Roman" w:hAnsi="Times New Roman"/>
        </w:rPr>
      </w:pPr>
      <w:r w:rsidRPr="448CE5E3">
        <w:rPr>
          <w:rFonts w:ascii="Times New Roman" w:hAnsi="Times New Roman"/>
        </w:rPr>
        <w:t>Riigihanke piirmäära</w:t>
      </w:r>
      <w:r w:rsidR="00335F49" w:rsidRPr="448CE5E3">
        <w:rPr>
          <w:rFonts w:ascii="Times New Roman" w:hAnsi="Times New Roman"/>
        </w:rPr>
        <w:t>ga võrdsete või seda</w:t>
      </w:r>
      <w:r w:rsidRPr="448CE5E3">
        <w:rPr>
          <w:rFonts w:ascii="Times New Roman" w:hAnsi="Times New Roman"/>
        </w:rPr>
        <w:t xml:space="preserve"> ületavate hangete puhul kehtib praktiliselt sama menetlus, mis rahvusvaheliste riigihangete puhul. Lihthankemenetluses on mõnevõrra paindlikumad reeglid</w:t>
      </w:r>
      <w:r w:rsidR="00511A04" w:rsidRPr="448CE5E3">
        <w:rPr>
          <w:rFonts w:ascii="Times New Roman" w:hAnsi="Times New Roman"/>
        </w:rPr>
        <w:t>,</w:t>
      </w:r>
      <w:r w:rsidRPr="448CE5E3">
        <w:rPr>
          <w:rFonts w:ascii="Times New Roman" w:hAnsi="Times New Roman"/>
        </w:rPr>
        <w:t xml:space="preserve"> </w:t>
      </w:r>
      <w:r w:rsidR="00511A04" w:rsidRPr="448CE5E3">
        <w:rPr>
          <w:rFonts w:ascii="Times New Roman" w:hAnsi="Times New Roman"/>
        </w:rPr>
        <w:t>p</w:t>
      </w:r>
      <w:r w:rsidRPr="448CE5E3">
        <w:rPr>
          <w:rFonts w:ascii="Times New Roman" w:hAnsi="Times New Roman"/>
        </w:rPr>
        <w:t xml:space="preserve">eamiselt lühemad tähtajad ja läbirääkimiste võimalus. </w:t>
      </w:r>
    </w:p>
    <w:p w14:paraId="4E679C42" w14:textId="77777777" w:rsidR="00A06A66" w:rsidRDefault="00A06A66" w:rsidP="000F432D">
      <w:pPr>
        <w:spacing w:before="240" w:after="0"/>
        <w:ind w:left="60"/>
        <w:jc w:val="both"/>
        <w:rPr>
          <w:rFonts w:ascii="Times New Roman" w:hAnsi="Times New Roman"/>
        </w:rPr>
      </w:pPr>
      <w:r w:rsidRPr="00683D88">
        <w:rPr>
          <w:rFonts w:ascii="Times New Roman" w:hAnsi="Times New Roman"/>
        </w:rPr>
        <w:t xml:space="preserve">Alla lihthanke piirmäära jäävate väikehangete puhul </w:t>
      </w:r>
      <w:r>
        <w:rPr>
          <w:rFonts w:ascii="Times New Roman" w:hAnsi="Times New Roman"/>
        </w:rPr>
        <w:t>peab hankija</w:t>
      </w:r>
      <w:r w:rsidRPr="00683D88">
        <w:rPr>
          <w:rFonts w:ascii="Times New Roman" w:hAnsi="Times New Roman"/>
        </w:rPr>
        <w:t xml:space="preserve"> lähtu</w:t>
      </w:r>
      <w:r>
        <w:rPr>
          <w:rFonts w:ascii="Times New Roman" w:hAnsi="Times New Roman"/>
        </w:rPr>
        <w:t>m</w:t>
      </w:r>
      <w:r w:rsidRPr="00683D88">
        <w:rPr>
          <w:rFonts w:ascii="Times New Roman" w:hAnsi="Times New Roman"/>
        </w:rPr>
        <w:t>a üksnes riigihangete üldpõhimõtetest nagu läbipaistvus, võrdne kohtlemine jt.</w:t>
      </w:r>
    </w:p>
    <w:p w14:paraId="5102EF1B" w14:textId="0C08DDA6" w:rsidR="00A06A66" w:rsidRDefault="00A06A66" w:rsidP="000F432D">
      <w:pPr>
        <w:spacing w:before="240" w:after="0"/>
        <w:jc w:val="both"/>
        <w:rPr>
          <w:rFonts w:ascii="Times New Roman" w:hAnsi="Times New Roman"/>
        </w:rPr>
      </w:pPr>
      <w:r>
        <w:rPr>
          <w:rFonts w:ascii="Times New Roman" w:hAnsi="Times New Roman"/>
        </w:rPr>
        <w:t xml:space="preserve">Siseriiklikud piirmäärad </w:t>
      </w:r>
      <w:r w:rsidR="00EB2E9B">
        <w:rPr>
          <w:rFonts w:ascii="Times New Roman" w:hAnsi="Times New Roman"/>
        </w:rPr>
        <w:t xml:space="preserve">eurodes </w:t>
      </w:r>
      <w:r>
        <w:rPr>
          <w:rFonts w:ascii="Times New Roman" w:hAnsi="Times New Roman"/>
        </w:rPr>
        <w:t>kehtivad hetkel järgmiselt</w:t>
      </w:r>
      <w:r>
        <w:rPr>
          <w:rStyle w:val="Allmrkuseviide"/>
          <w:rFonts w:ascii="Times New Roman" w:hAnsi="Times New Roman"/>
        </w:rPr>
        <w:footnoteReference w:id="2"/>
      </w:r>
      <w:r>
        <w:rPr>
          <w:rFonts w:ascii="Times New Roman" w:hAnsi="Times New Roman"/>
        </w:rPr>
        <w:t>:</w:t>
      </w:r>
    </w:p>
    <w:tbl>
      <w:tblPr>
        <w:tblStyle w:val="Kontuurtabel"/>
        <w:tblW w:w="5000" w:type="pct"/>
        <w:tblLayout w:type="fixed"/>
        <w:tblLook w:val="04A0" w:firstRow="1" w:lastRow="0" w:firstColumn="1" w:lastColumn="0" w:noHBand="0" w:noVBand="1"/>
      </w:tblPr>
      <w:tblGrid>
        <w:gridCol w:w="1078"/>
        <w:gridCol w:w="739"/>
        <w:gridCol w:w="981"/>
        <w:gridCol w:w="843"/>
        <w:gridCol w:w="843"/>
        <w:gridCol w:w="970"/>
        <w:gridCol w:w="886"/>
        <w:gridCol w:w="950"/>
        <w:gridCol w:w="491"/>
        <w:gridCol w:w="420"/>
        <w:gridCol w:w="845"/>
        <w:gridCol w:w="16"/>
      </w:tblGrid>
      <w:tr w:rsidR="00A06A66" w:rsidRPr="005D1362" w14:paraId="349F94E4" w14:textId="77777777" w:rsidTr="3B16882B">
        <w:tc>
          <w:tcPr>
            <w:tcW w:w="595" w:type="pct"/>
            <w:vMerge w:val="restart"/>
          </w:tcPr>
          <w:p w14:paraId="789BB7F8" w14:textId="77777777" w:rsidR="00A06A66" w:rsidRPr="005D1362" w:rsidRDefault="00A06A66" w:rsidP="0051554F">
            <w:pPr>
              <w:jc w:val="both"/>
              <w:rPr>
                <w:sz w:val="24"/>
                <w:szCs w:val="24"/>
              </w:rPr>
            </w:pPr>
          </w:p>
        </w:tc>
        <w:tc>
          <w:tcPr>
            <w:tcW w:w="2414" w:type="pct"/>
            <w:gridSpan w:val="5"/>
            <w:tcBorders>
              <w:right w:val="single" w:sz="6" w:space="0" w:color="auto"/>
            </w:tcBorders>
          </w:tcPr>
          <w:p w14:paraId="08EDAB25" w14:textId="77777777" w:rsidR="00A06A66" w:rsidRPr="005D1362" w:rsidRDefault="00A06A66" w:rsidP="0051554F">
            <w:pPr>
              <w:jc w:val="center"/>
              <w:rPr>
                <w:b/>
                <w:sz w:val="24"/>
                <w:szCs w:val="24"/>
              </w:rPr>
            </w:pPr>
            <w:r w:rsidRPr="09883EE4">
              <w:rPr>
                <w:b/>
                <w:sz w:val="24"/>
                <w:szCs w:val="24"/>
              </w:rPr>
              <w:t>Riigihange</w:t>
            </w:r>
          </w:p>
        </w:tc>
        <w:tc>
          <w:tcPr>
            <w:tcW w:w="1991" w:type="pct"/>
            <w:gridSpan w:val="6"/>
            <w:tcBorders>
              <w:left w:val="single" w:sz="6" w:space="0" w:color="auto"/>
            </w:tcBorders>
          </w:tcPr>
          <w:p w14:paraId="20CB5C45" w14:textId="77777777" w:rsidR="00A06A66" w:rsidRPr="005D1362" w:rsidRDefault="00A06A66" w:rsidP="0051554F">
            <w:pPr>
              <w:jc w:val="center"/>
              <w:rPr>
                <w:b/>
                <w:sz w:val="24"/>
                <w:szCs w:val="24"/>
              </w:rPr>
            </w:pPr>
            <w:r w:rsidRPr="09883EE4">
              <w:rPr>
                <w:b/>
                <w:sz w:val="24"/>
                <w:szCs w:val="24"/>
              </w:rPr>
              <w:t>Lihthange</w:t>
            </w:r>
          </w:p>
        </w:tc>
      </w:tr>
      <w:tr w:rsidR="00571DF5" w:rsidRPr="005D1362" w14:paraId="02EB2F60" w14:textId="77777777" w:rsidTr="3B16882B">
        <w:trPr>
          <w:gridAfter w:val="1"/>
          <w:wAfter w:w="9" w:type="pct"/>
          <w:cantSplit/>
          <w:trHeight w:val="1667"/>
        </w:trPr>
        <w:tc>
          <w:tcPr>
            <w:tcW w:w="595" w:type="pct"/>
            <w:vMerge/>
          </w:tcPr>
          <w:p w14:paraId="691FAFCA" w14:textId="77777777" w:rsidR="00A06A66" w:rsidRPr="005D1362" w:rsidRDefault="00A06A66" w:rsidP="0051554F">
            <w:pPr>
              <w:jc w:val="both"/>
            </w:pPr>
          </w:p>
        </w:tc>
        <w:tc>
          <w:tcPr>
            <w:tcW w:w="408" w:type="pct"/>
            <w:textDirection w:val="tbRl"/>
          </w:tcPr>
          <w:p w14:paraId="7FA7C4BA" w14:textId="77777777" w:rsidR="00A06A66" w:rsidRPr="005D1362" w:rsidRDefault="00A06A66" w:rsidP="0051554F">
            <w:pPr>
              <w:ind w:left="113" w:right="113"/>
              <w:jc w:val="center"/>
              <w:rPr>
                <w:sz w:val="24"/>
                <w:szCs w:val="24"/>
              </w:rPr>
            </w:pPr>
            <w:r w:rsidRPr="09883EE4">
              <w:rPr>
                <w:sz w:val="24"/>
                <w:szCs w:val="24"/>
              </w:rPr>
              <w:t>Asjad/</w:t>
            </w:r>
          </w:p>
          <w:p w14:paraId="6233066F" w14:textId="77777777" w:rsidR="00A06A66" w:rsidRPr="005D1362" w:rsidRDefault="00A06A66" w:rsidP="0051554F">
            <w:pPr>
              <w:ind w:left="113" w:right="113"/>
              <w:jc w:val="center"/>
              <w:rPr>
                <w:sz w:val="24"/>
                <w:szCs w:val="24"/>
              </w:rPr>
            </w:pPr>
            <w:r w:rsidRPr="09883EE4">
              <w:rPr>
                <w:sz w:val="24"/>
                <w:szCs w:val="24"/>
              </w:rPr>
              <w:t>teenused</w:t>
            </w:r>
          </w:p>
        </w:tc>
        <w:tc>
          <w:tcPr>
            <w:tcW w:w="541" w:type="pct"/>
            <w:textDirection w:val="tbRl"/>
          </w:tcPr>
          <w:p w14:paraId="5A8ABBB2" w14:textId="77777777" w:rsidR="00A06A66" w:rsidRPr="005D1362" w:rsidRDefault="00A06A66" w:rsidP="0051554F">
            <w:pPr>
              <w:ind w:left="113" w:right="113"/>
              <w:jc w:val="center"/>
              <w:rPr>
                <w:sz w:val="24"/>
                <w:szCs w:val="24"/>
              </w:rPr>
            </w:pPr>
            <w:r w:rsidRPr="09883EE4">
              <w:rPr>
                <w:sz w:val="24"/>
                <w:szCs w:val="24"/>
              </w:rPr>
              <w:t>Ehitustöö</w:t>
            </w:r>
          </w:p>
        </w:tc>
        <w:tc>
          <w:tcPr>
            <w:tcW w:w="465" w:type="pct"/>
            <w:textDirection w:val="tbRl"/>
          </w:tcPr>
          <w:p w14:paraId="174F80AC" w14:textId="77777777" w:rsidR="00A06A66" w:rsidRPr="005D1362" w:rsidRDefault="00A06A66" w:rsidP="0051554F">
            <w:pPr>
              <w:ind w:left="113" w:right="113"/>
              <w:jc w:val="center"/>
              <w:rPr>
                <w:sz w:val="24"/>
                <w:szCs w:val="24"/>
              </w:rPr>
            </w:pPr>
            <w:r w:rsidRPr="09883EE4">
              <w:rPr>
                <w:sz w:val="24"/>
                <w:szCs w:val="24"/>
              </w:rPr>
              <w:t>Sotsiaalteenus</w:t>
            </w:r>
          </w:p>
        </w:tc>
        <w:tc>
          <w:tcPr>
            <w:tcW w:w="465" w:type="pct"/>
            <w:textDirection w:val="tbRl"/>
          </w:tcPr>
          <w:p w14:paraId="6007F444" w14:textId="77777777" w:rsidR="00A06A66" w:rsidRPr="005D1362" w:rsidRDefault="00A06A66" w:rsidP="0051554F">
            <w:pPr>
              <w:ind w:left="113" w:right="113"/>
              <w:jc w:val="center"/>
              <w:rPr>
                <w:sz w:val="24"/>
                <w:szCs w:val="24"/>
              </w:rPr>
            </w:pPr>
            <w:r w:rsidRPr="09883EE4">
              <w:rPr>
                <w:sz w:val="24"/>
                <w:szCs w:val="24"/>
              </w:rPr>
              <w:t>Eriteenus</w:t>
            </w:r>
          </w:p>
        </w:tc>
        <w:tc>
          <w:tcPr>
            <w:tcW w:w="535" w:type="pct"/>
            <w:tcBorders>
              <w:right w:val="single" w:sz="6" w:space="0" w:color="auto"/>
            </w:tcBorders>
            <w:textDirection w:val="tbRl"/>
          </w:tcPr>
          <w:p w14:paraId="2C32ADDF" w14:textId="77777777" w:rsidR="00A06A66" w:rsidRPr="005D1362" w:rsidRDefault="00A06A66" w:rsidP="0051554F">
            <w:pPr>
              <w:ind w:left="113" w:right="113"/>
              <w:jc w:val="center"/>
              <w:rPr>
                <w:sz w:val="24"/>
                <w:szCs w:val="24"/>
              </w:rPr>
            </w:pPr>
            <w:r w:rsidRPr="09883EE4">
              <w:rPr>
                <w:sz w:val="24"/>
                <w:szCs w:val="24"/>
              </w:rPr>
              <w:t>Kontsessioon</w:t>
            </w:r>
          </w:p>
        </w:tc>
        <w:tc>
          <w:tcPr>
            <w:tcW w:w="489" w:type="pct"/>
            <w:tcBorders>
              <w:left w:val="single" w:sz="6" w:space="0" w:color="auto"/>
            </w:tcBorders>
            <w:textDirection w:val="tbRl"/>
          </w:tcPr>
          <w:p w14:paraId="2F44FD55" w14:textId="77777777" w:rsidR="00A06A66" w:rsidRPr="005D1362" w:rsidRDefault="00A06A66" w:rsidP="0051554F">
            <w:pPr>
              <w:ind w:left="113" w:right="113"/>
              <w:jc w:val="center"/>
              <w:rPr>
                <w:sz w:val="24"/>
                <w:szCs w:val="24"/>
              </w:rPr>
            </w:pPr>
            <w:r w:rsidRPr="09883EE4">
              <w:rPr>
                <w:sz w:val="24"/>
                <w:szCs w:val="24"/>
              </w:rPr>
              <w:t>Asjad/</w:t>
            </w:r>
          </w:p>
          <w:p w14:paraId="04B77E00" w14:textId="77777777" w:rsidR="00A06A66" w:rsidRPr="005D1362" w:rsidRDefault="00A06A66" w:rsidP="0051554F">
            <w:pPr>
              <w:ind w:left="113" w:right="113"/>
              <w:jc w:val="center"/>
              <w:rPr>
                <w:sz w:val="24"/>
                <w:szCs w:val="24"/>
              </w:rPr>
            </w:pPr>
            <w:r w:rsidRPr="09883EE4">
              <w:rPr>
                <w:sz w:val="24"/>
                <w:szCs w:val="24"/>
              </w:rPr>
              <w:t>teenused</w:t>
            </w:r>
          </w:p>
        </w:tc>
        <w:tc>
          <w:tcPr>
            <w:tcW w:w="524" w:type="pct"/>
            <w:textDirection w:val="tbRl"/>
          </w:tcPr>
          <w:p w14:paraId="0E696A7E" w14:textId="77777777" w:rsidR="00A06A66" w:rsidRPr="005D1362" w:rsidRDefault="00A06A66" w:rsidP="0051554F">
            <w:pPr>
              <w:ind w:left="113" w:right="113"/>
              <w:jc w:val="center"/>
              <w:rPr>
                <w:sz w:val="24"/>
                <w:szCs w:val="24"/>
              </w:rPr>
            </w:pPr>
            <w:r w:rsidRPr="09883EE4">
              <w:rPr>
                <w:sz w:val="24"/>
                <w:szCs w:val="24"/>
              </w:rPr>
              <w:t>Ehitustöö</w:t>
            </w:r>
          </w:p>
        </w:tc>
        <w:tc>
          <w:tcPr>
            <w:tcW w:w="271" w:type="pct"/>
            <w:textDirection w:val="tbRl"/>
          </w:tcPr>
          <w:p w14:paraId="7D2728DB" w14:textId="77777777" w:rsidR="00A06A66" w:rsidRPr="005D1362" w:rsidRDefault="00A06A66" w:rsidP="0051554F">
            <w:pPr>
              <w:ind w:left="113" w:right="113"/>
              <w:jc w:val="center"/>
              <w:rPr>
                <w:sz w:val="24"/>
                <w:szCs w:val="24"/>
              </w:rPr>
            </w:pPr>
            <w:r w:rsidRPr="09883EE4">
              <w:rPr>
                <w:sz w:val="24"/>
                <w:szCs w:val="24"/>
              </w:rPr>
              <w:t>Sotsiaalteenus</w:t>
            </w:r>
          </w:p>
        </w:tc>
        <w:tc>
          <w:tcPr>
            <w:tcW w:w="232" w:type="pct"/>
            <w:textDirection w:val="tbRl"/>
          </w:tcPr>
          <w:p w14:paraId="62574587" w14:textId="77777777" w:rsidR="00A06A66" w:rsidRPr="005D1362" w:rsidRDefault="00A06A66" w:rsidP="0051554F">
            <w:pPr>
              <w:ind w:left="113" w:right="113"/>
              <w:jc w:val="center"/>
              <w:rPr>
                <w:sz w:val="24"/>
                <w:szCs w:val="24"/>
              </w:rPr>
            </w:pPr>
            <w:r w:rsidRPr="09883EE4">
              <w:rPr>
                <w:sz w:val="24"/>
                <w:szCs w:val="24"/>
              </w:rPr>
              <w:t>Eriteenus</w:t>
            </w:r>
          </w:p>
        </w:tc>
        <w:tc>
          <w:tcPr>
            <w:tcW w:w="466" w:type="pct"/>
            <w:textDirection w:val="tbRl"/>
          </w:tcPr>
          <w:p w14:paraId="49134281" w14:textId="77777777" w:rsidR="00A06A66" w:rsidRPr="005D1362" w:rsidRDefault="00A06A66" w:rsidP="0051554F">
            <w:pPr>
              <w:ind w:left="113" w:right="113"/>
              <w:jc w:val="center"/>
              <w:rPr>
                <w:sz w:val="24"/>
                <w:szCs w:val="24"/>
              </w:rPr>
            </w:pPr>
            <w:r w:rsidRPr="09883EE4">
              <w:rPr>
                <w:sz w:val="24"/>
                <w:szCs w:val="24"/>
              </w:rPr>
              <w:t>Kontsessioon</w:t>
            </w:r>
          </w:p>
        </w:tc>
      </w:tr>
      <w:tr w:rsidR="00A06A66" w:rsidRPr="005D1362" w14:paraId="4BA13170" w14:textId="77777777" w:rsidTr="00AB5E79">
        <w:trPr>
          <w:gridAfter w:val="1"/>
          <w:wAfter w:w="9" w:type="pct"/>
        </w:trPr>
        <w:tc>
          <w:tcPr>
            <w:tcW w:w="595" w:type="pct"/>
          </w:tcPr>
          <w:p w14:paraId="1385278E" w14:textId="77777777" w:rsidR="00A06A66" w:rsidRPr="005D1362" w:rsidRDefault="00A06A66" w:rsidP="0051554F">
            <w:pPr>
              <w:jc w:val="both"/>
              <w:rPr>
                <w:sz w:val="24"/>
                <w:szCs w:val="24"/>
              </w:rPr>
            </w:pPr>
            <w:r w:rsidRPr="09883EE4">
              <w:rPr>
                <w:sz w:val="24"/>
                <w:szCs w:val="24"/>
              </w:rPr>
              <w:t>Avalik sektor</w:t>
            </w:r>
          </w:p>
        </w:tc>
        <w:tc>
          <w:tcPr>
            <w:tcW w:w="408" w:type="pct"/>
            <w:shd w:val="clear" w:color="auto" w:fill="auto"/>
          </w:tcPr>
          <w:p w14:paraId="764B3678" w14:textId="6F590F20" w:rsidR="00A06A66" w:rsidRPr="00076F2E" w:rsidRDefault="00B46B3C" w:rsidP="001A190F">
            <w:pPr>
              <w:rPr>
                <w:sz w:val="24"/>
                <w:szCs w:val="24"/>
              </w:rPr>
            </w:pPr>
            <w:r w:rsidRPr="09883EE4">
              <w:rPr>
                <w:sz w:val="24"/>
                <w:szCs w:val="24"/>
              </w:rPr>
              <w:t>60</w:t>
            </w:r>
            <w:r w:rsidR="00EE6E23" w:rsidRPr="09883EE4">
              <w:rPr>
                <w:sz w:val="24"/>
                <w:szCs w:val="24"/>
              </w:rPr>
              <w:t xml:space="preserve"> </w:t>
            </w:r>
            <w:r w:rsidRPr="09883EE4">
              <w:rPr>
                <w:sz w:val="24"/>
                <w:szCs w:val="24"/>
              </w:rPr>
              <w:t>0</w:t>
            </w:r>
            <w:r w:rsidR="00EE6E23" w:rsidRPr="09883EE4">
              <w:rPr>
                <w:sz w:val="24"/>
                <w:szCs w:val="24"/>
              </w:rPr>
              <w:t>0</w:t>
            </w:r>
            <w:r w:rsidRPr="09883EE4">
              <w:rPr>
                <w:sz w:val="24"/>
                <w:szCs w:val="24"/>
              </w:rPr>
              <w:t>0</w:t>
            </w:r>
          </w:p>
        </w:tc>
        <w:tc>
          <w:tcPr>
            <w:tcW w:w="541" w:type="pct"/>
            <w:shd w:val="clear" w:color="auto" w:fill="auto"/>
          </w:tcPr>
          <w:p w14:paraId="3E75A02A" w14:textId="1141A96D" w:rsidR="00A06A66" w:rsidRPr="00076F2E" w:rsidRDefault="007D6B7F" w:rsidP="0051554F">
            <w:pPr>
              <w:jc w:val="center"/>
              <w:rPr>
                <w:sz w:val="24"/>
                <w:szCs w:val="24"/>
              </w:rPr>
            </w:pPr>
            <w:r w:rsidRPr="09883EE4">
              <w:rPr>
                <w:sz w:val="24"/>
                <w:szCs w:val="24"/>
              </w:rPr>
              <w:t>150</w:t>
            </w:r>
            <w:r w:rsidR="001A190F" w:rsidRPr="09883EE4">
              <w:rPr>
                <w:sz w:val="24"/>
                <w:szCs w:val="24"/>
              </w:rPr>
              <w:t xml:space="preserve"> </w:t>
            </w:r>
            <w:r w:rsidRPr="09883EE4">
              <w:rPr>
                <w:sz w:val="24"/>
                <w:szCs w:val="24"/>
              </w:rPr>
              <w:t>000</w:t>
            </w:r>
          </w:p>
        </w:tc>
        <w:tc>
          <w:tcPr>
            <w:tcW w:w="465" w:type="pct"/>
          </w:tcPr>
          <w:p w14:paraId="418E4DCA" w14:textId="77777777" w:rsidR="00A06A66" w:rsidRPr="005D1362" w:rsidRDefault="00A06A66" w:rsidP="0051554F">
            <w:pPr>
              <w:jc w:val="center"/>
              <w:rPr>
                <w:sz w:val="24"/>
                <w:szCs w:val="24"/>
              </w:rPr>
            </w:pPr>
            <w:r w:rsidRPr="09883EE4">
              <w:rPr>
                <w:sz w:val="24"/>
                <w:szCs w:val="24"/>
              </w:rPr>
              <w:t>300 000</w:t>
            </w:r>
          </w:p>
        </w:tc>
        <w:tc>
          <w:tcPr>
            <w:tcW w:w="465" w:type="pct"/>
          </w:tcPr>
          <w:p w14:paraId="0B4B12C1" w14:textId="77777777" w:rsidR="00A06A66" w:rsidRPr="005D1362" w:rsidRDefault="00A06A66" w:rsidP="0051554F">
            <w:pPr>
              <w:jc w:val="center"/>
              <w:rPr>
                <w:sz w:val="24"/>
                <w:szCs w:val="24"/>
              </w:rPr>
            </w:pPr>
            <w:r w:rsidRPr="09883EE4">
              <w:rPr>
                <w:sz w:val="24"/>
                <w:szCs w:val="24"/>
              </w:rPr>
              <w:t>60 000</w:t>
            </w:r>
          </w:p>
        </w:tc>
        <w:tc>
          <w:tcPr>
            <w:tcW w:w="535" w:type="pct"/>
            <w:tcBorders>
              <w:right w:val="single" w:sz="6" w:space="0" w:color="auto"/>
            </w:tcBorders>
          </w:tcPr>
          <w:p w14:paraId="5A1B3DD2" w14:textId="77777777" w:rsidR="00A06A66" w:rsidRPr="005D1362" w:rsidRDefault="00A06A66" w:rsidP="0051554F">
            <w:pPr>
              <w:jc w:val="center"/>
              <w:rPr>
                <w:sz w:val="24"/>
                <w:szCs w:val="24"/>
              </w:rPr>
            </w:pPr>
            <w:r w:rsidRPr="09883EE4">
              <w:rPr>
                <w:sz w:val="24"/>
                <w:szCs w:val="24"/>
              </w:rPr>
              <w:t>60 000/</w:t>
            </w:r>
          </w:p>
          <w:p w14:paraId="621F749C" w14:textId="77777777" w:rsidR="00A06A66" w:rsidRPr="005D1362" w:rsidRDefault="00A06A66" w:rsidP="0051554F">
            <w:pPr>
              <w:jc w:val="center"/>
              <w:rPr>
                <w:sz w:val="24"/>
                <w:szCs w:val="24"/>
              </w:rPr>
            </w:pPr>
            <w:r w:rsidRPr="09883EE4">
              <w:rPr>
                <w:sz w:val="24"/>
                <w:szCs w:val="24"/>
              </w:rPr>
              <w:t>300 000</w:t>
            </w:r>
            <w:r w:rsidRPr="09883EE4">
              <w:rPr>
                <w:rStyle w:val="Allmrkuseviide"/>
                <w:sz w:val="24"/>
                <w:szCs w:val="24"/>
              </w:rPr>
              <w:footnoteReference w:id="3"/>
            </w:r>
          </w:p>
        </w:tc>
        <w:tc>
          <w:tcPr>
            <w:tcW w:w="489" w:type="pct"/>
            <w:tcBorders>
              <w:left w:val="single" w:sz="6" w:space="0" w:color="auto"/>
            </w:tcBorders>
          </w:tcPr>
          <w:p w14:paraId="6BC95DE9" w14:textId="77777777" w:rsidR="00A06A66" w:rsidRPr="005D1362" w:rsidRDefault="00A06A66" w:rsidP="0051554F">
            <w:pPr>
              <w:jc w:val="center"/>
              <w:rPr>
                <w:sz w:val="24"/>
                <w:szCs w:val="24"/>
              </w:rPr>
            </w:pPr>
            <w:r w:rsidRPr="09883EE4">
              <w:rPr>
                <w:sz w:val="24"/>
                <w:szCs w:val="24"/>
              </w:rPr>
              <w:t>30 000</w:t>
            </w:r>
          </w:p>
        </w:tc>
        <w:tc>
          <w:tcPr>
            <w:tcW w:w="524" w:type="pct"/>
          </w:tcPr>
          <w:p w14:paraId="27249A4C" w14:textId="77777777" w:rsidR="00A06A66" w:rsidRPr="005D1362" w:rsidRDefault="00A06A66" w:rsidP="0051554F">
            <w:pPr>
              <w:jc w:val="center"/>
              <w:rPr>
                <w:sz w:val="24"/>
                <w:szCs w:val="24"/>
              </w:rPr>
            </w:pPr>
            <w:r w:rsidRPr="09883EE4">
              <w:rPr>
                <w:sz w:val="24"/>
                <w:szCs w:val="24"/>
              </w:rPr>
              <w:t>60 000</w:t>
            </w:r>
          </w:p>
        </w:tc>
        <w:tc>
          <w:tcPr>
            <w:tcW w:w="271" w:type="pct"/>
          </w:tcPr>
          <w:p w14:paraId="424029C1" w14:textId="77777777" w:rsidR="00A06A66" w:rsidRPr="005D1362" w:rsidRDefault="00A06A66" w:rsidP="0051554F">
            <w:pPr>
              <w:jc w:val="center"/>
              <w:rPr>
                <w:sz w:val="24"/>
                <w:szCs w:val="24"/>
              </w:rPr>
            </w:pPr>
            <w:r w:rsidRPr="09883EE4">
              <w:rPr>
                <w:sz w:val="24"/>
                <w:szCs w:val="24"/>
              </w:rPr>
              <w:t>x</w:t>
            </w:r>
          </w:p>
        </w:tc>
        <w:tc>
          <w:tcPr>
            <w:tcW w:w="232" w:type="pct"/>
          </w:tcPr>
          <w:p w14:paraId="328EAA47" w14:textId="77777777" w:rsidR="00A06A66" w:rsidRPr="005D1362" w:rsidRDefault="00A06A66" w:rsidP="0051554F">
            <w:pPr>
              <w:jc w:val="center"/>
              <w:rPr>
                <w:sz w:val="24"/>
                <w:szCs w:val="24"/>
              </w:rPr>
            </w:pPr>
            <w:r w:rsidRPr="09883EE4">
              <w:rPr>
                <w:sz w:val="24"/>
                <w:szCs w:val="24"/>
              </w:rPr>
              <w:t>x</w:t>
            </w:r>
          </w:p>
        </w:tc>
        <w:tc>
          <w:tcPr>
            <w:tcW w:w="466" w:type="pct"/>
          </w:tcPr>
          <w:p w14:paraId="2627457A" w14:textId="77777777" w:rsidR="00A06A66" w:rsidRPr="005D1362" w:rsidRDefault="00A06A66" w:rsidP="0051554F">
            <w:pPr>
              <w:jc w:val="center"/>
              <w:rPr>
                <w:sz w:val="24"/>
                <w:szCs w:val="24"/>
              </w:rPr>
            </w:pPr>
            <w:r w:rsidRPr="09883EE4">
              <w:rPr>
                <w:sz w:val="24"/>
                <w:szCs w:val="24"/>
              </w:rPr>
              <w:t>60 000</w:t>
            </w:r>
          </w:p>
        </w:tc>
      </w:tr>
      <w:tr w:rsidR="00A06A66" w:rsidRPr="005D1362" w14:paraId="275EBDC2" w14:textId="77777777" w:rsidTr="3B16882B">
        <w:trPr>
          <w:gridAfter w:val="1"/>
          <w:wAfter w:w="9" w:type="pct"/>
        </w:trPr>
        <w:tc>
          <w:tcPr>
            <w:tcW w:w="595" w:type="pct"/>
          </w:tcPr>
          <w:p w14:paraId="01F2608C" w14:textId="77777777" w:rsidR="00A06A66" w:rsidRPr="005D1362" w:rsidRDefault="00A06A66" w:rsidP="0051554F">
            <w:pPr>
              <w:jc w:val="both"/>
              <w:rPr>
                <w:sz w:val="24"/>
                <w:szCs w:val="24"/>
              </w:rPr>
            </w:pPr>
            <w:r w:rsidRPr="09883EE4">
              <w:rPr>
                <w:sz w:val="24"/>
                <w:szCs w:val="24"/>
              </w:rPr>
              <w:t>Võrgustiku-sektor</w:t>
            </w:r>
          </w:p>
        </w:tc>
        <w:tc>
          <w:tcPr>
            <w:tcW w:w="408" w:type="pct"/>
          </w:tcPr>
          <w:p w14:paraId="4A6E7994" w14:textId="77777777" w:rsidR="00A06A66" w:rsidRPr="005D1362" w:rsidRDefault="00A06A66" w:rsidP="0051554F">
            <w:pPr>
              <w:jc w:val="center"/>
              <w:rPr>
                <w:sz w:val="24"/>
                <w:szCs w:val="24"/>
              </w:rPr>
            </w:pPr>
            <w:r w:rsidRPr="09883EE4">
              <w:rPr>
                <w:sz w:val="24"/>
                <w:szCs w:val="24"/>
              </w:rPr>
              <w:t>x</w:t>
            </w:r>
          </w:p>
        </w:tc>
        <w:tc>
          <w:tcPr>
            <w:tcW w:w="541" w:type="pct"/>
          </w:tcPr>
          <w:p w14:paraId="0B3B0EBE" w14:textId="77777777" w:rsidR="00A06A66" w:rsidRPr="005D1362" w:rsidRDefault="00A06A66" w:rsidP="0051554F">
            <w:pPr>
              <w:jc w:val="center"/>
              <w:rPr>
                <w:sz w:val="24"/>
                <w:szCs w:val="24"/>
              </w:rPr>
            </w:pPr>
            <w:r w:rsidRPr="09883EE4">
              <w:rPr>
                <w:sz w:val="24"/>
                <w:szCs w:val="24"/>
              </w:rPr>
              <w:t>x</w:t>
            </w:r>
          </w:p>
        </w:tc>
        <w:tc>
          <w:tcPr>
            <w:tcW w:w="465" w:type="pct"/>
          </w:tcPr>
          <w:p w14:paraId="73B14FAF" w14:textId="77777777" w:rsidR="00A06A66" w:rsidRPr="005D1362" w:rsidRDefault="00A06A66" w:rsidP="0051554F">
            <w:pPr>
              <w:jc w:val="center"/>
              <w:rPr>
                <w:sz w:val="24"/>
                <w:szCs w:val="24"/>
              </w:rPr>
            </w:pPr>
            <w:r w:rsidRPr="09883EE4">
              <w:rPr>
                <w:sz w:val="24"/>
                <w:szCs w:val="24"/>
              </w:rPr>
              <w:t>300 000</w:t>
            </w:r>
          </w:p>
        </w:tc>
        <w:tc>
          <w:tcPr>
            <w:tcW w:w="465" w:type="pct"/>
          </w:tcPr>
          <w:p w14:paraId="744AE368" w14:textId="77777777" w:rsidR="00A06A66" w:rsidRPr="005D1362" w:rsidRDefault="00A06A66" w:rsidP="0051554F">
            <w:pPr>
              <w:jc w:val="center"/>
              <w:rPr>
                <w:sz w:val="24"/>
                <w:szCs w:val="24"/>
              </w:rPr>
            </w:pPr>
            <w:r w:rsidRPr="09883EE4">
              <w:rPr>
                <w:sz w:val="24"/>
                <w:szCs w:val="24"/>
              </w:rPr>
              <w:t>60 000</w:t>
            </w:r>
          </w:p>
        </w:tc>
        <w:tc>
          <w:tcPr>
            <w:tcW w:w="535" w:type="pct"/>
            <w:tcBorders>
              <w:right w:val="single" w:sz="6" w:space="0" w:color="auto"/>
            </w:tcBorders>
          </w:tcPr>
          <w:p w14:paraId="78031047" w14:textId="77777777" w:rsidR="00A06A66" w:rsidRPr="005D1362" w:rsidRDefault="00A06A66" w:rsidP="0051554F">
            <w:pPr>
              <w:jc w:val="center"/>
              <w:rPr>
                <w:sz w:val="24"/>
                <w:szCs w:val="24"/>
              </w:rPr>
            </w:pPr>
            <w:r w:rsidRPr="09883EE4">
              <w:rPr>
                <w:sz w:val="24"/>
                <w:szCs w:val="24"/>
              </w:rPr>
              <w:t>60 000/</w:t>
            </w:r>
          </w:p>
          <w:p w14:paraId="28946B9B" w14:textId="77777777" w:rsidR="00A06A66" w:rsidRPr="005D1362" w:rsidRDefault="00A06A66" w:rsidP="0051554F">
            <w:pPr>
              <w:jc w:val="center"/>
              <w:rPr>
                <w:sz w:val="24"/>
                <w:szCs w:val="24"/>
                <w:vertAlign w:val="superscript"/>
              </w:rPr>
            </w:pPr>
            <w:r w:rsidRPr="09883EE4">
              <w:rPr>
                <w:sz w:val="24"/>
                <w:szCs w:val="24"/>
              </w:rPr>
              <w:t>300 000</w:t>
            </w:r>
            <w:r w:rsidRPr="09883EE4">
              <w:rPr>
                <w:sz w:val="24"/>
                <w:szCs w:val="24"/>
                <w:vertAlign w:val="superscript"/>
              </w:rPr>
              <w:t>2</w:t>
            </w:r>
          </w:p>
        </w:tc>
        <w:tc>
          <w:tcPr>
            <w:tcW w:w="489" w:type="pct"/>
            <w:tcBorders>
              <w:left w:val="single" w:sz="6" w:space="0" w:color="auto"/>
            </w:tcBorders>
          </w:tcPr>
          <w:p w14:paraId="60F0DDDE" w14:textId="77777777" w:rsidR="00A06A66" w:rsidRPr="005D1362" w:rsidRDefault="00A06A66" w:rsidP="0051554F">
            <w:pPr>
              <w:jc w:val="center"/>
              <w:rPr>
                <w:sz w:val="24"/>
                <w:szCs w:val="24"/>
              </w:rPr>
            </w:pPr>
            <w:r w:rsidRPr="09883EE4">
              <w:rPr>
                <w:sz w:val="24"/>
                <w:szCs w:val="24"/>
              </w:rPr>
              <w:t>60 000</w:t>
            </w:r>
          </w:p>
        </w:tc>
        <w:tc>
          <w:tcPr>
            <w:tcW w:w="524" w:type="pct"/>
          </w:tcPr>
          <w:p w14:paraId="137C6F35" w14:textId="77777777" w:rsidR="00A06A66" w:rsidRPr="005D1362" w:rsidRDefault="00A06A66" w:rsidP="0051554F">
            <w:pPr>
              <w:jc w:val="center"/>
              <w:rPr>
                <w:sz w:val="24"/>
                <w:szCs w:val="24"/>
              </w:rPr>
            </w:pPr>
            <w:r w:rsidRPr="09883EE4">
              <w:rPr>
                <w:sz w:val="24"/>
                <w:szCs w:val="24"/>
              </w:rPr>
              <w:t>300 000</w:t>
            </w:r>
          </w:p>
        </w:tc>
        <w:tc>
          <w:tcPr>
            <w:tcW w:w="271" w:type="pct"/>
          </w:tcPr>
          <w:p w14:paraId="27C30AC3" w14:textId="77777777" w:rsidR="00A06A66" w:rsidRPr="005D1362" w:rsidRDefault="00A06A66" w:rsidP="0051554F">
            <w:pPr>
              <w:jc w:val="center"/>
              <w:rPr>
                <w:sz w:val="24"/>
                <w:szCs w:val="24"/>
              </w:rPr>
            </w:pPr>
            <w:r w:rsidRPr="09883EE4">
              <w:rPr>
                <w:sz w:val="24"/>
                <w:szCs w:val="24"/>
              </w:rPr>
              <w:t>x</w:t>
            </w:r>
          </w:p>
        </w:tc>
        <w:tc>
          <w:tcPr>
            <w:tcW w:w="232" w:type="pct"/>
          </w:tcPr>
          <w:p w14:paraId="0080B1C3" w14:textId="77777777" w:rsidR="00A06A66" w:rsidRPr="005D1362" w:rsidRDefault="00A06A66" w:rsidP="0051554F">
            <w:pPr>
              <w:jc w:val="center"/>
              <w:rPr>
                <w:sz w:val="24"/>
                <w:szCs w:val="24"/>
              </w:rPr>
            </w:pPr>
            <w:r w:rsidRPr="09883EE4">
              <w:rPr>
                <w:sz w:val="24"/>
                <w:szCs w:val="24"/>
              </w:rPr>
              <w:t>x</w:t>
            </w:r>
          </w:p>
        </w:tc>
        <w:tc>
          <w:tcPr>
            <w:tcW w:w="466" w:type="pct"/>
          </w:tcPr>
          <w:p w14:paraId="64302DED" w14:textId="77777777" w:rsidR="00A06A66" w:rsidRPr="005D1362" w:rsidRDefault="00A06A66" w:rsidP="0051554F">
            <w:pPr>
              <w:jc w:val="center"/>
              <w:rPr>
                <w:sz w:val="24"/>
                <w:szCs w:val="24"/>
              </w:rPr>
            </w:pPr>
            <w:r w:rsidRPr="09883EE4">
              <w:rPr>
                <w:sz w:val="24"/>
                <w:szCs w:val="24"/>
              </w:rPr>
              <w:t>60 000</w:t>
            </w:r>
          </w:p>
        </w:tc>
      </w:tr>
      <w:tr w:rsidR="00A06A66" w:rsidRPr="005D1362" w14:paraId="1C6D13C6" w14:textId="77777777" w:rsidTr="3B16882B">
        <w:trPr>
          <w:gridAfter w:val="1"/>
          <w:wAfter w:w="9" w:type="pct"/>
          <w:trHeight w:val="50"/>
        </w:trPr>
        <w:tc>
          <w:tcPr>
            <w:tcW w:w="595" w:type="pct"/>
          </w:tcPr>
          <w:p w14:paraId="78A2868D" w14:textId="77777777" w:rsidR="00A06A66" w:rsidRPr="005D1362" w:rsidRDefault="00A06A66" w:rsidP="0051554F">
            <w:pPr>
              <w:jc w:val="both"/>
              <w:rPr>
                <w:sz w:val="24"/>
                <w:szCs w:val="24"/>
              </w:rPr>
            </w:pPr>
            <w:r w:rsidRPr="09883EE4">
              <w:rPr>
                <w:sz w:val="24"/>
                <w:szCs w:val="24"/>
              </w:rPr>
              <w:t>Kaitse- ja julgeoleku-sektor</w:t>
            </w:r>
          </w:p>
        </w:tc>
        <w:tc>
          <w:tcPr>
            <w:tcW w:w="408" w:type="pct"/>
          </w:tcPr>
          <w:p w14:paraId="0E10CF94" w14:textId="77777777" w:rsidR="00A06A66" w:rsidRPr="005D1362" w:rsidRDefault="00A06A66" w:rsidP="0051554F">
            <w:pPr>
              <w:jc w:val="center"/>
              <w:rPr>
                <w:sz w:val="24"/>
                <w:szCs w:val="24"/>
              </w:rPr>
            </w:pPr>
            <w:r w:rsidRPr="09883EE4">
              <w:rPr>
                <w:sz w:val="24"/>
                <w:szCs w:val="24"/>
              </w:rPr>
              <w:t>x</w:t>
            </w:r>
          </w:p>
        </w:tc>
        <w:tc>
          <w:tcPr>
            <w:tcW w:w="541" w:type="pct"/>
          </w:tcPr>
          <w:p w14:paraId="35F81A16" w14:textId="77777777" w:rsidR="00A06A66" w:rsidRPr="005D1362" w:rsidRDefault="00A06A66" w:rsidP="0051554F">
            <w:pPr>
              <w:jc w:val="center"/>
              <w:rPr>
                <w:sz w:val="24"/>
                <w:szCs w:val="24"/>
              </w:rPr>
            </w:pPr>
            <w:r w:rsidRPr="09883EE4">
              <w:rPr>
                <w:sz w:val="24"/>
                <w:szCs w:val="24"/>
              </w:rPr>
              <w:t>x</w:t>
            </w:r>
          </w:p>
        </w:tc>
        <w:tc>
          <w:tcPr>
            <w:tcW w:w="465" w:type="pct"/>
          </w:tcPr>
          <w:p w14:paraId="0A0D961D" w14:textId="77777777" w:rsidR="00A06A66" w:rsidRPr="005D1362" w:rsidRDefault="00A06A66" w:rsidP="0051554F">
            <w:pPr>
              <w:jc w:val="center"/>
              <w:rPr>
                <w:sz w:val="24"/>
                <w:szCs w:val="24"/>
              </w:rPr>
            </w:pPr>
            <w:r w:rsidRPr="09883EE4">
              <w:rPr>
                <w:sz w:val="24"/>
                <w:szCs w:val="24"/>
              </w:rPr>
              <w:t>300 000</w:t>
            </w:r>
          </w:p>
        </w:tc>
        <w:tc>
          <w:tcPr>
            <w:tcW w:w="465" w:type="pct"/>
          </w:tcPr>
          <w:p w14:paraId="46447B06" w14:textId="77777777" w:rsidR="00A06A66" w:rsidRPr="005D1362" w:rsidRDefault="00A06A66" w:rsidP="0051554F">
            <w:pPr>
              <w:jc w:val="center"/>
              <w:rPr>
                <w:sz w:val="24"/>
                <w:szCs w:val="24"/>
              </w:rPr>
            </w:pPr>
            <w:r w:rsidRPr="09883EE4">
              <w:rPr>
                <w:sz w:val="24"/>
                <w:szCs w:val="24"/>
              </w:rPr>
              <w:t>300 000</w:t>
            </w:r>
          </w:p>
        </w:tc>
        <w:tc>
          <w:tcPr>
            <w:tcW w:w="535" w:type="pct"/>
            <w:tcBorders>
              <w:right w:val="single" w:sz="6" w:space="0" w:color="auto"/>
            </w:tcBorders>
          </w:tcPr>
          <w:p w14:paraId="4C3080A0" w14:textId="77777777" w:rsidR="00A06A66" w:rsidRPr="005D1362" w:rsidRDefault="00A06A66" w:rsidP="0051554F">
            <w:pPr>
              <w:jc w:val="center"/>
              <w:rPr>
                <w:sz w:val="24"/>
                <w:szCs w:val="24"/>
              </w:rPr>
            </w:pPr>
            <w:r w:rsidRPr="09883EE4">
              <w:rPr>
                <w:sz w:val="24"/>
                <w:szCs w:val="24"/>
              </w:rPr>
              <w:t>x</w:t>
            </w:r>
          </w:p>
        </w:tc>
        <w:tc>
          <w:tcPr>
            <w:tcW w:w="489" w:type="pct"/>
            <w:tcBorders>
              <w:left w:val="single" w:sz="6" w:space="0" w:color="auto"/>
            </w:tcBorders>
          </w:tcPr>
          <w:p w14:paraId="7BC36618" w14:textId="77777777" w:rsidR="00A06A66" w:rsidRPr="005D1362" w:rsidRDefault="00A06A66" w:rsidP="0051554F">
            <w:pPr>
              <w:jc w:val="center"/>
              <w:rPr>
                <w:sz w:val="24"/>
                <w:szCs w:val="24"/>
              </w:rPr>
            </w:pPr>
            <w:r w:rsidRPr="09883EE4">
              <w:rPr>
                <w:sz w:val="24"/>
                <w:szCs w:val="24"/>
              </w:rPr>
              <w:t>60 000</w:t>
            </w:r>
          </w:p>
        </w:tc>
        <w:tc>
          <w:tcPr>
            <w:tcW w:w="524" w:type="pct"/>
          </w:tcPr>
          <w:p w14:paraId="12309D1C" w14:textId="77777777" w:rsidR="00A06A66" w:rsidRPr="005D1362" w:rsidRDefault="00A06A66" w:rsidP="0051554F">
            <w:pPr>
              <w:jc w:val="center"/>
              <w:rPr>
                <w:sz w:val="24"/>
                <w:szCs w:val="24"/>
              </w:rPr>
            </w:pPr>
            <w:r w:rsidRPr="09883EE4">
              <w:rPr>
                <w:sz w:val="24"/>
                <w:szCs w:val="24"/>
              </w:rPr>
              <w:t>300 000</w:t>
            </w:r>
          </w:p>
        </w:tc>
        <w:tc>
          <w:tcPr>
            <w:tcW w:w="271" w:type="pct"/>
          </w:tcPr>
          <w:p w14:paraId="6E07EE58" w14:textId="77777777" w:rsidR="00A06A66" w:rsidRPr="005D1362" w:rsidRDefault="00A06A66" w:rsidP="0051554F">
            <w:pPr>
              <w:jc w:val="center"/>
              <w:rPr>
                <w:sz w:val="24"/>
                <w:szCs w:val="24"/>
              </w:rPr>
            </w:pPr>
            <w:r w:rsidRPr="09883EE4">
              <w:rPr>
                <w:sz w:val="24"/>
                <w:szCs w:val="24"/>
              </w:rPr>
              <w:t>x</w:t>
            </w:r>
          </w:p>
        </w:tc>
        <w:tc>
          <w:tcPr>
            <w:tcW w:w="232" w:type="pct"/>
          </w:tcPr>
          <w:p w14:paraId="414FA87E" w14:textId="77777777" w:rsidR="00A06A66" w:rsidRPr="005D1362" w:rsidRDefault="00A06A66" w:rsidP="0051554F">
            <w:pPr>
              <w:jc w:val="center"/>
              <w:rPr>
                <w:sz w:val="24"/>
                <w:szCs w:val="24"/>
              </w:rPr>
            </w:pPr>
            <w:r w:rsidRPr="09883EE4">
              <w:rPr>
                <w:sz w:val="24"/>
                <w:szCs w:val="24"/>
              </w:rPr>
              <w:t>x</w:t>
            </w:r>
          </w:p>
        </w:tc>
        <w:tc>
          <w:tcPr>
            <w:tcW w:w="466" w:type="pct"/>
          </w:tcPr>
          <w:p w14:paraId="27FFD3CC" w14:textId="77777777" w:rsidR="00A06A66" w:rsidRPr="005D1362" w:rsidRDefault="00A06A66" w:rsidP="0051554F">
            <w:pPr>
              <w:jc w:val="center"/>
              <w:rPr>
                <w:sz w:val="24"/>
                <w:szCs w:val="24"/>
              </w:rPr>
            </w:pPr>
            <w:r w:rsidRPr="09883EE4">
              <w:rPr>
                <w:sz w:val="24"/>
                <w:szCs w:val="24"/>
              </w:rPr>
              <w:t>x</w:t>
            </w:r>
          </w:p>
        </w:tc>
      </w:tr>
    </w:tbl>
    <w:p w14:paraId="01A29EC9" w14:textId="4E082913" w:rsidR="000F432D" w:rsidRDefault="000F432D" w:rsidP="000F432D">
      <w:pPr>
        <w:jc w:val="both"/>
        <w:rPr>
          <w:rFonts w:ascii="Times New Roman" w:eastAsia="Times New Roman" w:hAnsi="Times New Roman" w:cs="Times New Roman"/>
        </w:rPr>
      </w:pPr>
    </w:p>
    <w:p w14:paraId="1F9C6487" w14:textId="5DCA5B60" w:rsidR="00A06A66" w:rsidRPr="00EC2CFC" w:rsidRDefault="00A06A66" w:rsidP="000F432D">
      <w:pPr>
        <w:jc w:val="both"/>
        <w:rPr>
          <w:rFonts w:ascii="Times New Roman" w:hAnsi="Times New Roman"/>
        </w:rPr>
      </w:pPr>
      <w:r w:rsidRPr="09883EE4">
        <w:rPr>
          <w:rFonts w:ascii="Times New Roman" w:eastAsia="Times New Roman" w:hAnsi="Times New Roman" w:cs="Times New Roman"/>
        </w:rPr>
        <w:t xml:space="preserve">Möödunud aastal koostas Advokaadibüroo TGS Baltic Rahandusministeeriumi </w:t>
      </w:r>
      <w:r w:rsidRPr="00EC2CFC">
        <w:rPr>
          <w:rFonts w:ascii="Times New Roman" w:hAnsi="Times New Roman"/>
        </w:rPr>
        <w:t xml:space="preserve">tellimusel </w:t>
      </w:r>
      <w:hyperlink r:id="rId10" w:history="1">
        <w:r w:rsidRPr="002D0701">
          <w:rPr>
            <w:rStyle w:val="Hperlink"/>
            <w:rFonts w:ascii="Times New Roman" w:hAnsi="Times New Roman"/>
          </w:rPr>
          <w:t>analüüsi</w:t>
        </w:r>
      </w:hyperlink>
      <w:r w:rsidRPr="00EC2CFC">
        <w:rPr>
          <w:rFonts w:ascii="Times New Roman" w:hAnsi="Times New Roman"/>
        </w:rPr>
        <w:t xml:space="preserve"> riigihangete reeglite lihtsustamiseks</w:t>
      </w:r>
      <w:r w:rsidR="007D3D31">
        <w:rPr>
          <w:rFonts w:ascii="Times New Roman" w:hAnsi="Times New Roman"/>
        </w:rPr>
        <w:t xml:space="preserve"> (edaspidi </w:t>
      </w:r>
      <w:r w:rsidR="00B423E9" w:rsidRPr="00B423E9">
        <w:rPr>
          <w:rFonts w:ascii="Times New Roman" w:hAnsi="Times New Roman"/>
          <w:i/>
        </w:rPr>
        <w:t>TGS Balticu</w:t>
      </w:r>
      <w:r w:rsidR="00B423E9">
        <w:rPr>
          <w:rFonts w:ascii="Times New Roman" w:hAnsi="Times New Roman"/>
        </w:rPr>
        <w:t xml:space="preserve"> </w:t>
      </w:r>
      <w:r w:rsidR="007D3D31" w:rsidRPr="007D3D31">
        <w:rPr>
          <w:rFonts w:ascii="Times New Roman" w:hAnsi="Times New Roman"/>
          <w:i/>
        </w:rPr>
        <w:t>analüüs</w:t>
      </w:r>
      <w:r w:rsidR="007D3D31">
        <w:rPr>
          <w:rFonts w:ascii="Times New Roman" w:hAnsi="Times New Roman"/>
        </w:rPr>
        <w:t>)</w:t>
      </w:r>
      <w:r w:rsidRPr="00EC2CFC">
        <w:rPr>
          <w:rFonts w:ascii="Times New Roman" w:hAnsi="Times New Roman"/>
        </w:rPr>
        <w:t>. Detsembris valminud lõpparuandes esitati 40 ettepanekut riigihangete seaduse muutmiseks ning riigihangete registri arendamiseks.</w:t>
      </w:r>
    </w:p>
    <w:p w14:paraId="41ACE494" w14:textId="50BB4E76" w:rsidR="00A06A66" w:rsidRDefault="00A06A66" w:rsidP="000F432D">
      <w:pPr>
        <w:jc w:val="both"/>
        <w:rPr>
          <w:rFonts w:ascii="Times New Roman" w:hAnsi="Times New Roman"/>
        </w:rPr>
      </w:pPr>
      <w:r>
        <w:rPr>
          <w:rFonts w:ascii="Times New Roman" w:hAnsi="Times New Roman"/>
        </w:rPr>
        <w:t xml:space="preserve">Lõpparuanne hõlmab enamasti väiksemaid seaduse muudatusi, mis iseseisvalt ei mõjuta hankija tööd märkimisväärselt, kuid annavad efekti kogumis. Siiski on ka mõningad põhimõttelised muudatusettepanekud, mille soovime enne eelnõu koostamist hankijate ja pakkujatega läbi arutada. Nende osas soovime </w:t>
      </w:r>
      <w:r w:rsidR="008A2239">
        <w:rPr>
          <w:rFonts w:ascii="Times New Roman" w:hAnsi="Times New Roman"/>
        </w:rPr>
        <w:t>kuulda poo</w:t>
      </w:r>
      <w:r w:rsidR="00D80B91">
        <w:rPr>
          <w:rFonts w:ascii="Times New Roman" w:hAnsi="Times New Roman"/>
        </w:rPr>
        <w:t>l</w:t>
      </w:r>
      <w:r w:rsidR="008A2239">
        <w:rPr>
          <w:rFonts w:ascii="Times New Roman" w:hAnsi="Times New Roman"/>
        </w:rPr>
        <w:t>t ja vastu argumente</w:t>
      </w:r>
      <w:r>
        <w:rPr>
          <w:rFonts w:ascii="Times New Roman" w:hAnsi="Times New Roman"/>
        </w:rPr>
        <w:t>,</w:t>
      </w:r>
      <w:r w:rsidR="00803772">
        <w:rPr>
          <w:rFonts w:ascii="Times New Roman" w:hAnsi="Times New Roman"/>
        </w:rPr>
        <w:t xml:space="preserve"> </w:t>
      </w:r>
      <w:r w:rsidR="000553CD">
        <w:rPr>
          <w:rFonts w:ascii="Times New Roman" w:hAnsi="Times New Roman"/>
        </w:rPr>
        <w:t xml:space="preserve">milline mõju oleks muudatustel teie </w:t>
      </w:r>
      <w:r w:rsidR="00AE3B75">
        <w:rPr>
          <w:rFonts w:ascii="Times New Roman" w:hAnsi="Times New Roman"/>
        </w:rPr>
        <w:t>tegevusele</w:t>
      </w:r>
      <w:r w:rsidR="00F16ADB">
        <w:rPr>
          <w:rFonts w:ascii="Times New Roman" w:hAnsi="Times New Roman"/>
        </w:rPr>
        <w:t>, kas mõju</w:t>
      </w:r>
      <w:r w:rsidR="00FC3DE5">
        <w:rPr>
          <w:rFonts w:ascii="Times New Roman" w:hAnsi="Times New Roman"/>
        </w:rPr>
        <w:t xml:space="preserve"> oleks positiivne või negatiivne. </w:t>
      </w:r>
      <w:r>
        <w:rPr>
          <w:rFonts w:ascii="Times New Roman" w:hAnsi="Times New Roman"/>
        </w:rPr>
        <w:t>Teised ettepanekud esitame loeteluna</w:t>
      </w:r>
      <w:r w:rsidR="001701D4">
        <w:rPr>
          <w:rFonts w:ascii="Times New Roman" w:hAnsi="Times New Roman"/>
        </w:rPr>
        <w:t>.</w:t>
      </w:r>
      <w:r w:rsidR="00386455">
        <w:rPr>
          <w:rFonts w:ascii="Times New Roman" w:hAnsi="Times New Roman"/>
        </w:rPr>
        <w:t xml:space="preserve"> </w:t>
      </w:r>
      <w:r w:rsidR="001701D4">
        <w:rPr>
          <w:rFonts w:ascii="Times New Roman" w:hAnsi="Times New Roman"/>
        </w:rPr>
        <w:t>Nende</w:t>
      </w:r>
      <w:r w:rsidR="00386455">
        <w:rPr>
          <w:rFonts w:ascii="Times New Roman" w:hAnsi="Times New Roman"/>
        </w:rPr>
        <w:t xml:space="preserve"> </w:t>
      </w:r>
      <w:r w:rsidR="00DF38D7">
        <w:rPr>
          <w:rFonts w:ascii="Times New Roman" w:hAnsi="Times New Roman"/>
        </w:rPr>
        <w:t>kohta ootame sarnast infot kirjalikult</w:t>
      </w:r>
      <w:r>
        <w:rPr>
          <w:rFonts w:ascii="Times New Roman" w:hAnsi="Times New Roman"/>
        </w:rPr>
        <w:t>.</w:t>
      </w:r>
      <w:r w:rsidR="00B8205D">
        <w:rPr>
          <w:rFonts w:ascii="Times New Roman" w:hAnsi="Times New Roman"/>
        </w:rPr>
        <w:t xml:space="preserve"> </w:t>
      </w:r>
      <w:r w:rsidR="00B36CEC">
        <w:rPr>
          <w:rFonts w:ascii="Times New Roman" w:hAnsi="Times New Roman"/>
        </w:rPr>
        <w:t xml:space="preserve">Viimaseid arutame koosolekul nii palju kui </w:t>
      </w:r>
      <w:r w:rsidR="00605B0E">
        <w:rPr>
          <w:rFonts w:ascii="Times New Roman" w:hAnsi="Times New Roman"/>
        </w:rPr>
        <w:t xml:space="preserve">planeeritud </w:t>
      </w:r>
      <w:r w:rsidR="00B36CEC">
        <w:rPr>
          <w:rFonts w:ascii="Times New Roman" w:hAnsi="Times New Roman"/>
        </w:rPr>
        <w:t>a</w:t>
      </w:r>
      <w:r w:rsidR="00605B0E">
        <w:rPr>
          <w:rFonts w:ascii="Times New Roman" w:hAnsi="Times New Roman"/>
        </w:rPr>
        <w:t>eg võimaldab</w:t>
      </w:r>
      <w:r w:rsidR="00B36CEC">
        <w:rPr>
          <w:rFonts w:ascii="Times New Roman" w:hAnsi="Times New Roman"/>
        </w:rPr>
        <w:t>.</w:t>
      </w:r>
    </w:p>
    <w:p w14:paraId="27CAB09E" w14:textId="77777777" w:rsidR="005D1362" w:rsidRPr="005D1362" w:rsidRDefault="005D1362" w:rsidP="000F432D">
      <w:pPr>
        <w:jc w:val="both"/>
        <w:rPr>
          <w:rFonts w:ascii="Times New Roman" w:hAnsi="Times New Roman" w:cs="Times New Roman"/>
        </w:rPr>
      </w:pPr>
    </w:p>
    <w:p w14:paraId="75E8267E" w14:textId="26E88DC5" w:rsidR="00A06A66" w:rsidRDefault="00A06A66" w:rsidP="000F432D">
      <w:pPr>
        <w:pStyle w:val="Loendilik"/>
        <w:numPr>
          <w:ilvl w:val="0"/>
          <w:numId w:val="2"/>
        </w:numPr>
        <w:spacing w:line="240" w:lineRule="auto"/>
        <w:jc w:val="both"/>
        <w:rPr>
          <w:rFonts w:ascii="Times New Roman" w:hAnsi="Times New Roman" w:cs="Times New Roman"/>
          <w:b/>
          <w:bCs/>
        </w:rPr>
      </w:pPr>
      <w:r w:rsidRPr="00C72275">
        <w:rPr>
          <w:rFonts w:ascii="Times New Roman" w:hAnsi="Times New Roman"/>
          <w:b/>
        </w:rPr>
        <w:t>Olulisemad muudatusettepanekud</w:t>
      </w:r>
    </w:p>
    <w:p w14:paraId="30034538" w14:textId="77777777" w:rsidR="005D1362" w:rsidRPr="005D1362" w:rsidRDefault="005D1362" w:rsidP="000F432D">
      <w:pPr>
        <w:pStyle w:val="Loendilik"/>
        <w:spacing w:line="240" w:lineRule="auto"/>
        <w:ind w:left="360"/>
        <w:jc w:val="both"/>
        <w:rPr>
          <w:rFonts w:ascii="Times New Roman" w:hAnsi="Times New Roman" w:cs="Times New Roman"/>
          <w:b/>
          <w:bCs/>
        </w:rPr>
      </w:pPr>
    </w:p>
    <w:p w14:paraId="7EC3A6B4" w14:textId="2EA5ADA4" w:rsidR="00A06A66" w:rsidRPr="000F432D" w:rsidRDefault="00A06A66" w:rsidP="000F432D">
      <w:pPr>
        <w:pStyle w:val="Loendilik"/>
        <w:numPr>
          <w:ilvl w:val="1"/>
          <w:numId w:val="2"/>
        </w:numPr>
        <w:spacing w:line="240" w:lineRule="auto"/>
        <w:jc w:val="both"/>
        <w:rPr>
          <w:rFonts w:ascii="Times New Roman" w:hAnsi="Times New Roman" w:cs="Times New Roman"/>
          <w:b/>
          <w:bCs/>
        </w:rPr>
      </w:pPr>
      <w:r w:rsidRPr="00C72275">
        <w:rPr>
          <w:rFonts w:ascii="Times New Roman" w:hAnsi="Times New Roman"/>
          <w:b/>
        </w:rPr>
        <w:t xml:space="preserve"> </w:t>
      </w:r>
      <w:r>
        <w:rPr>
          <w:rFonts w:ascii="Times New Roman" w:hAnsi="Times New Roman"/>
          <w:b/>
        </w:rPr>
        <w:t>Asendada senised kaks siseriiklikku piirmäära ühega ning kohaldada a</w:t>
      </w:r>
      <w:r w:rsidRPr="00C72275">
        <w:rPr>
          <w:rFonts w:ascii="Times New Roman" w:hAnsi="Times New Roman"/>
          <w:b/>
        </w:rPr>
        <w:t xml:space="preserve">lla rahvusvahelise piirmäära </w:t>
      </w:r>
      <w:r>
        <w:rPr>
          <w:rFonts w:ascii="Times New Roman" w:hAnsi="Times New Roman"/>
          <w:b/>
        </w:rPr>
        <w:t xml:space="preserve">hangetele </w:t>
      </w:r>
      <w:r w:rsidRPr="00C72275">
        <w:rPr>
          <w:rFonts w:ascii="Times New Roman" w:hAnsi="Times New Roman"/>
          <w:b/>
        </w:rPr>
        <w:t>lihthankemenetluse kor</w:t>
      </w:r>
      <w:r>
        <w:rPr>
          <w:rFonts w:ascii="Times New Roman" w:hAnsi="Times New Roman"/>
          <w:b/>
        </w:rPr>
        <w:t>da</w:t>
      </w:r>
      <w:r w:rsidRPr="00C72275">
        <w:rPr>
          <w:rFonts w:ascii="Times New Roman" w:hAnsi="Times New Roman"/>
          <w:b/>
        </w:rPr>
        <w:t xml:space="preserve"> (RHS § 15) </w:t>
      </w:r>
    </w:p>
    <w:p w14:paraId="3B7F7BE5" w14:textId="5BEFB1DC" w:rsidR="00A06A66" w:rsidRDefault="00A06A66" w:rsidP="000F432D">
      <w:pPr>
        <w:jc w:val="both"/>
        <w:rPr>
          <w:rFonts w:ascii="Times New Roman" w:hAnsi="Times New Roman"/>
        </w:rPr>
      </w:pPr>
      <w:r>
        <w:rPr>
          <w:rFonts w:ascii="Times New Roman" w:hAnsi="Times New Roman"/>
        </w:rPr>
        <w:t xml:space="preserve">Hetkel kehtib nö 3-astmeline riigihangete süsteem, kus menetlusreeglite rakendamine sõltub sellest kas riigihange ületab lihthanke, riigihanke või rahvusvahelist piirmäära. Vaid võrgustiku- ja kaitse- ning  julgeoleku sektoris ei rakendu tavahangetes riigihanke piirmäär. </w:t>
      </w:r>
    </w:p>
    <w:p w14:paraId="1314F221" w14:textId="5AC3BC52" w:rsidR="00A06A66" w:rsidRDefault="00A06A66" w:rsidP="000F432D">
      <w:pPr>
        <w:jc w:val="both"/>
        <w:rPr>
          <w:rFonts w:ascii="Times New Roman" w:hAnsi="Times New Roman"/>
        </w:rPr>
      </w:pPr>
      <w:r w:rsidRPr="12D1E6E3">
        <w:rPr>
          <w:rFonts w:ascii="Times New Roman" w:hAnsi="Times New Roman"/>
          <w:b/>
          <w:bCs/>
        </w:rPr>
        <w:t>Ettepaneku sisuks</w:t>
      </w:r>
      <w:r>
        <w:rPr>
          <w:rFonts w:ascii="Times New Roman" w:hAnsi="Times New Roman"/>
        </w:rPr>
        <w:t xml:space="preserve"> on kaotada r</w:t>
      </w:r>
      <w:r w:rsidRPr="00631E96">
        <w:rPr>
          <w:rFonts w:ascii="Times New Roman" w:hAnsi="Times New Roman"/>
        </w:rPr>
        <w:t>iigihanke piirmäär</w:t>
      </w:r>
      <w:r>
        <w:rPr>
          <w:rFonts w:ascii="Times New Roman" w:hAnsi="Times New Roman"/>
        </w:rPr>
        <w:t xml:space="preserve"> ning kohaldada lihthankemenetlust klassikalises sektoris </w:t>
      </w:r>
      <w:r w:rsidRPr="00631E96">
        <w:rPr>
          <w:rFonts w:ascii="Times New Roman" w:hAnsi="Times New Roman"/>
        </w:rPr>
        <w:t xml:space="preserve">kuni rahvusvahelise piirmäärani. See lihtsustaks ligikaudu </w:t>
      </w:r>
      <w:r>
        <w:rPr>
          <w:rFonts w:ascii="Times New Roman" w:hAnsi="Times New Roman"/>
        </w:rPr>
        <w:t>39</w:t>
      </w:r>
      <w:r w:rsidRPr="00631E96">
        <w:rPr>
          <w:rFonts w:ascii="Times New Roman" w:hAnsi="Times New Roman"/>
        </w:rPr>
        <w:t>% hangete läbiviimist, mõjutades samas ainult 1</w:t>
      </w:r>
      <w:r>
        <w:rPr>
          <w:rFonts w:ascii="Times New Roman" w:hAnsi="Times New Roman"/>
        </w:rPr>
        <w:t>1</w:t>
      </w:r>
      <w:r w:rsidRPr="00631E96">
        <w:rPr>
          <w:rFonts w:ascii="Times New Roman" w:hAnsi="Times New Roman"/>
        </w:rPr>
        <w:t>% rahaliste vahendite kasutamist</w:t>
      </w:r>
      <w:r>
        <w:rPr>
          <w:rStyle w:val="Allmrkuseviide"/>
          <w:rFonts w:ascii="Times New Roman" w:hAnsi="Times New Roman"/>
        </w:rPr>
        <w:footnoteReference w:id="4"/>
      </w:r>
      <w:r w:rsidRPr="00631E96">
        <w:rPr>
          <w:rFonts w:ascii="Times New Roman" w:hAnsi="Times New Roman"/>
        </w:rPr>
        <w:t>.</w:t>
      </w:r>
      <w:r>
        <w:rPr>
          <w:rFonts w:ascii="Times New Roman" w:hAnsi="Times New Roman"/>
        </w:rPr>
        <w:t xml:space="preserve"> </w:t>
      </w:r>
      <w:r w:rsidRPr="006010BA">
        <w:rPr>
          <w:rFonts w:ascii="Times New Roman" w:hAnsi="Times New Roman"/>
        </w:rPr>
        <w:t>202</w:t>
      </w:r>
      <w:r>
        <w:rPr>
          <w:rFonts w:ascii="Times New Roman" w:hAnsi="Times New Roman"/>
        </w:rPr>
        <w:t>4</w:t>
      </w:r>
      <w:r w:rsidRPr="006010BA">
        <w:rPr>
          <w:rFonts w:ascii="Times New Roman" w:hAnsi="Times New Roman"/>
        </w:rPr>
        <w:t>. aastal avaldati RHR-</w:t>
      </w:r>
      <w:proofErr w:type="spellStart"/>
      <w:r w:rsidRPr="006010BA">
        <w:rPr>
          <w:rFonts w:ascii="Times New Roman" w:hAnsi="Times New Roman"/>
        </w:rPr>
        <w:t>is</w:t>
      </w:r>
      <w:proofErr w:type="spellEnd"/>
      <w:r w:rsidRPr="006010BA">
        <w:rPr>
          <w:rFonts w:ascii="Times New Roman" w:hAnsi="Times New Roman"/>
        </w:rPr>
        <w:t xml:space="preserve"> kokku </w:t>
      </w:r>
      <w:r w:rsidRPr="0038683A">
        <w:rPr>
          <w:rFonts w:ascii="Times New Roman" w:hAnsi="Times New Roman"/>
        </w:rPr>
        <w:t>87</w:t>
      </w:r>
      <w:r w:rsidR="00B37C77">
        <w:rPr>
          <w:rFonts w:ascii="Times New Roman" w:hAnsi="Times New Roman"/>
        </w:rPr>
        <w:t>91</w:t>
      </w:r>
      <w:r w:rsidRPr="006010BA">
        <w:rPr>
          <w:rFonts w:ascii="Times New Roman" w:hAnsi="Times New Roman"/>
        </w:rPr>
        <w:t xml:space="preserve"> hanget, ne</w:t>
      </w:r>
      <w:r>
        <w:rPr>
          <w:rFonts w:ascii="Times New Roman" w:hAnsi="Times New Roman"/>
        </w:rPr>
        <w:t>ndest</w:t>
      </w:r>
      <w:r w:rsidRPr="006010BA">
        <w:rPr>
          <w:rFonts w:ascii="Times New Roman" w:hAnsi="Times New Roman"/>
        </w:rPr>
        <w:t xml:space="preserve"> </w:t>
      </w:r>
      <w:r w:rsidR="2A188819" w:rsidRPr="26FB982A">
        <w:rPr>
          <w:rFonts w:ascii="Times New Roman" w:hAnsi="Times New Roman"/>
        </w:rPr>
        <w:t>2590</w:t>
      </w:r>
      <w:r w:rsidRPr="006010BA">
        <w:rPr>
          <w:rFonts w:ascii="Times New Roman" w:hAnsi="Times New Roman"/>
        </w:rPr>
        <w:t xml:space="preserve"> siseriiklikku avatud menetlust.</w:t>
      </w:r>
      <w:r>
        <w:rPr>
          <w:rFonts w:ascii="Times New Roman" w:hAnsi="Times New Roman"/>
        </w:rPr>
        <w:t xml:space="preserve"> Järelikult oleks </w:t>
      </w:r>
      <w:r w:rsidR="32D4382C" w:rsidRPr="06278600">
        <w:rPr>
          <w:rFonts w:ascii="Times New Roman" w:hAnsi="Times New Roman"/>
        </w:rPr>
        <w:t>2590</w:t>
      </w:r>
      <w:r>
        <w:rPr>
          <w:rFonts w:ascii="Times New Roman" w:hAnsi="Times New Roman"/>
        </w:rPr>
        <w:t xml:space="preserve"> hanke menetlus paindlikum ning kiirem. 2024. aasta andmetel oli lihthanke menetluse pikkuseks </w:t>
      </w:r>
      <w:r w:rsidR="004838BF" w:rsidRPr="5DAD2C3B">
        <w:rPr>
          <w:rFonts w:ascii="Times New Roman" w:hAnsi="Times New Roman"/>
        </w:rPr>
        <w:t xml:space="preserve">hanketeate avaldamisest lepingu sõlmimiseni </w:t>
      </w:r>
      <w:r>
        <w:rPr>
          <w:rFonts w:ascii="Times New Roman" w:hAnsi="Times New Roman"/>
        </w:rPr>
        <w:t>45 päeva ja avatud hankemenetlusel 70 päeva.</w:t>
      </w:r>
    </w:p>
    <w:tbl>
      <w:tblPr>
        <w:tblStyle w:val="Kontuurtabel"/>
        <w:tblW w:w="0" w:type="auto"/>
        <w:tblLook w:val="04A0" w:firstRow="1" w:lastRow="0" w:firstColumn="1" w:lastColumn="0" w:noHBand="0" w:noVBand="1"/>
      </w:tblPr>
      <w:tblGrid>
        <w:gridCol w:w="1980"/>
        <w:gridCol w:w="7081"/>
      </w:tblGrid>
      <w:tr w:rsidR="00A06A66" w:rsidRPr="005D1362" w14:paraId="005E0358" w14:textId="77777777" w:rsidTr="0051554F">
        <w:tc>
          <w:tcPr>
            <w:tcW w:w="1980" w:type="dxa"/>
            <w:vMerge w:val="restart"/>
          </w:tcPr>
          <w:p w14:paraId="25998A72" w14:textId="77777777" w:rsidR="00A06A66" w:rsidRPr="005D1362" w:rsidRDefault="00A06A66" w:rsidP="0051554F">
            <w:pPr>
              <w:jc w:val="both"/>
              <w:rPr>
                <w:sz w:val="24"/>
                <w:szCs w:val="24"/>
              </w:rPr>
            </w:pPr>
          </w:p>
          <w:p w14:paraId="0E610292" w14:textId="77777777" w:rsidR="00A06A66" w:rsidRPr="005D1362" w:rsidRDefault="00A06A66" w:rsidP="0051554F">
            <w:pPr>
              <w:jc w:val="both"/>
              <w:rPr>
                <w:b/>
                <w:bCs/>
                <w:sz w:val="24"/>
                <w:szCs w:val="24"/>
              </w:rPr>
            </w:pPr>
            <w:r w:rsidRPr="005D1362">
              <w:rPr>
                <w:b/>
                <w:bCs/>
                <w:sz w:val="24"/>
                <w:szCs w:val="24"/>
              </w:rPr>
              <w:t>Positiivne mõju</w:t>
            </w:r>
          </w:p>
        </w:tc>
        <w:tc>
          <w:tcPr>
            <w:tcW w:w="7081" w:type="dxa"/>
          </w:tcPr>
          <w:p w14:paraId="3AAC55A2" w14:textId="77777777" w:rsidR="00A06A66" w:rsidRPr="005D1362" w:rsidRDefault="00A06A66" w:rsidP="0051554F">
            <w:pPr>
              <w:jc w:val="both"/>
              <w:rPr>
                <w:sz w:val="24"/>
                <w:szCs w:val="24"/>
              </w:rPr>
            </w:pPr>
            <w:r w:rsidRPr="005D1362">
              <w:rPr>
                <w:sz w:val="24"/>
                <w:szCs w:val="24"/>
              </w:rPr>
              <w:t>Vähendab oluliselt hankijate halduskoormust</w:t>
            </w:r>
          </w:p>
        </w:tc>
      </w:tr>
      <w:tr w:rsidR="00A06A66" w:rsidRPr="005D1362" w14:paraId="42C77EE8" w14:textId="77777777" w:rsidTr="0051554F">
        <w:tc>
          <w:tcPr>
            <w:tcW w:w="1980" w:type="dxa"/>
            <w:vMerge/>
          </w:tcPr>
          <w:p w14:paraId="31B2F221" w14:textId="77777777" w:rsidR="00A06A66" w:rsidRPr="005D1362" w:rsidRDefault="00A06A66" w:rsidP="0051554F">
            <w:pPr>
              <w:jc w:val="both"/>
              <w:rPr>
                <w:sz w:val="24"/>
                <w:szCs w:val="24"/>
              </w:rPr>
            </w:pPr>
          </w:p>
        </w:tc>
        <w:tc>
          <w:tcPr>
            <w:tcW w:w="7081" w:type="dxa"/>
          </w:tcPr>
          <w:p w14:paraId="38FFA771" w14:textId="77777777" w:rsidR="00A06A66" w:rsidRPr="005D1362" w:rsidRDefault="00A06A66" w:rsidP="0051554F">
            <w:pPr>
              <w:jc w:val="both"/>
              <w:rPr>
                <w:sz w:val="24"/>
                <w:szCs w:val="24"/>
              </w:rPr>
            </w:pPr>
            <w:r w:rsidRPr="005D1362">
              <w:rPr>
                <w:sz w:val="24"/>
                <w:szCs w:val="24"/>
              </w:rPr>
              <w:t>Riigihangete seadus lihtsustub tänu regulatsiooni vähenemisele</w:t>
            </w:r>
          </w:p>
        </w:tc>
      </w:tr>
      <w:tr w:rsidR="00A06A66" w:rsidRPr="005D1362" w14:paraId="105AACDD" w14:textId="77777777" w:rsidTr="0051554F">
        <w:tc>
          <w:tcPr>
            <w:tcW w:w="1980" w:type="dxa"/>
            <w:vMerge/>
          </w:tcPr>
          <w:p w14:paraId="7A5C507C" w14:textId="77777777" w:rsidR="00A06A66" w:rsidRPr="005D1362" w:rsidRDefault="00A06A66" w:rsidP="0051554F">
            <w:pPr>
              <w:jc w:val="both"/>
              <w:rPr>
                <w:sz w:val="24"/>
                <w:szCs w:val="24"/>
              </w:rPr>
            </w:pPr>
          </w:p>
        </w:tc>
        <w:tc>
          <w:tcPr>
            <w:tcW w:w="7081" w:type="dxa"/>
          </w:tcPr>
          <w:p w14:paraId="4288ACD1" w14:textId="77777777" w:rsidR="00A06A66" w:rsidRPr="005D1362" w:rsidRDefault="00A06A66" w:rsidP="0051554F">
            <w:pPr>
              <w:jc w:val="both"/>
              <w:rPr>
                <w:sz w:val="24"/>
                <w:szCs w:val="24"/>
              </w:rPr>
            </w:pPr>
            <w:r w:rsidRPr="005D1362">
              <w:rPr>
                <w:sz w:val="24"/>
                <w:szCs w:val="24"/>
              </w:rPr>
              <w:t>Lihthankemenetlus võimaldab läbirääkimisi, mis võivad soodustada poolte jaoks kasulikuma tulemuseni jõudmist. Ühtlasi annavad läbirääkimised võimaluse pakkumustes väheoluliste paranduste või täienduste tegemist vähendades hangete nurjumist ning pakkumuste tagasi lükkamist.</w:t>
            </w:r>
          </w:p>
        </w:tc>
      </w:tr>
      <w:tr w:rsidR="00A06A66" w:rsidRPr="005D1362" w14:paraId="51D4F037" w14:textId="77777777" w:rsidTr="0051554F">
        <w:tc>
          <w:tcPr>
            <w:tcW w:w="1980" w:type="dxa"/>
            <w:vMerge/>
          </w:tcPr>
          <w:p w14:paraId="01A65316" w14:textId="77777777" w:rsidR="00A06A66" w:rsidRPr="005D1362" w:rsidRDefault="00A06A66" w:rsidP="0051554F">
            <w:pPr>
              <w:jc w:val="both"/>
              <w:rPr>
                <w:sz w:val="24"/>
                <w:szCs w:val="24"/>
              </w:rPr>
            </w:pPr>
          </w:p>
        </w:tc>
        <w:tc>
          <w:tcPr>
            <w:tcW w:w="7081" w:type="dxa"/>
          </w:tcPr>
          <w:p w14:paraId="64CE1A54" w14:textId="77777777" w:rsidR="00A06A66" w:rsidRPr="005D1362" w:rsidRDefault="00A06A66" w:rsidP="0051554F">
            <w:pPr>
              <w:jc w:val="both"/>
              <w:rPr>
                <w:sz w:val="24"/>
                <w:szCs w:val="24"/>
              </w:rPr>
            </w:pPr>
            <w:r w:rsidRPr="005D1362">
              <w:rPr>
                <w:sz w:val="24"/>
                <w:szCs w:val="24"/>
              </w:rPr>
              <w:t xml:space="preserve">Mida paindlikumad on seadusest tulenevad menetlusreeglid, seda lihtsam on katsetada ka uudsete lahenduste ostmist, ehk soodustab innovatsiooni. </w:t>
            </w:r>
          </w:p>
        </w:tc>
      </w:tr>
    </w:tbl>
    <w:p w14:paraId="71106244" w14:textId="77777777" w:rsidR="00A06A66" w:rsidRPr="00631E96" w:rsidRDefault="00A06A66" w:rsidP="00A06A66">
      <w:pPr>
        <w:jc w:val="both"/>
        <w:rPr>
          <w:rFonts w:ascii="Times New Roman" w:hAnsi="Times New Roman"/>
        </w:rPr>
      </w:pPr>
    </w:p>
    <w:tbl>
      <w:tblPr>
        <w:tblStyle w:val="Kontuurtabel"/>
        <w:tblW w:w="0" w:type="auto"/>
        <w:tblLook w:val="04A0" w:firstRow="1" w:lastRow="0" w:firstColumn="1" w:lastColumn="0" w:noHBand="0" w:noVBand="1"/>
      </w:tblPr>
      <w:tblGrid>
        <w:gridCol w:w="1980"/>
        <w:gridCol w:w="7081"/>
      </w:tblGrid>
      <w:tr w:rsidR="00A06A66" w:rsidRPr="005D1362" w14:paraId="20D3D24B" w14:textId="77777777" w:rsidTr="0051554F">
        <w:tc>
          <w:tcPr>
            <w:tcW w:w="1980" w:type="dxa"/>
            <w:vMerge w:val="restart"/>
          </w:tcPr>
          <w:p w14:paraId="1C96C750" w14:textId="77777777" w:rsidR="00A06A66" w:rsidRPr="005D1362" w:rsidRDefault="00A06A66" w:rsidP="0051554F">
            <w:pPr>
              <w:jc w:val="both"/>
              <w:rPr>
                <w:sz w:val="24"/>
                <w:szCs w:val="24"/>
              </w:rPr>
            </w:pPr>
          </w:p>
          <w:p w14:paraId="5F68FE3C" w14:textId="77777777" w:rsidR="00A06A66" w:rsidRPr="005D1362" w:rsidRDefault="00A06A66" w:rsidP="0051554F">
            <w:pPr>
              <w:jc w:val="both"/>
              <w:rPr>
                <w:b/>
                <w:bCs/>
                <w:sz w:val="24"/>
                <w:szCs w:val="24"/>
              </w:rPr>
            </w:pPr>
            <w:r w:rsidRPr="005D1362">
              <w:rPr>
                <w:b/>
                <w:bCs/>
                <w:sz w:val="24"/>
                <w:szCs w:val="24"/>
              </w:rPr>
              <w:t>Riskid</w:t>
            </w:r>
          </w:p>
        </w:tc>
        <w:tc>
          <w:tcPr>
            <w:tcW w:w="7081" w:type="dxa"/>
          </w:tcPr>
          <w:p w14:paraId="59EE2A26" w14:textId="77777777" w:rsidR="00A06A66" w:rsidRPr="005D1362" w:rsidRDefault="00A06A66" w:rsidP="0051554F">
            <w:pPr>
              <w:tabs>
                <w:tab w:val="left" w:pos="6630"/>
              </w:tabs>
              <w:jc w:val="both"/>
              <w:rPr>
                <w:i/>
                <w:iCs/>
                <w:sz w:val="24"/>
                <w:szCs w:val="24"/>
              </w:rPr>
            </w:pPr>
            <w:r w:rsidRPr="005D1362">
              <w:rPr>
                <w:sz w:val="24"/>
                <w:szCs w:val="24"/>
              </w:rPr>
              <w:t xml:space="preserve">Läbipaistvuse vähenemine, kuna läbirääkimistega hankemenetlused on vähem läbipaistvad kui avatud ja piiratud hankemenetlused. </w:t>
            </w:r>
            <w:r w:rsidRPr="005D1362">
              <w:rPr>
                <w:i/>
                <w:iCs/>
                <w:sz w:val="24"/>
                <w:szCs w:val="24"/>
              </w:rPr>
              <w:t xml:space="preserve">(Leevendada saab läbirääkimiste keskkonna loomisega </w:t>
            </w:r>
            <w:proofErr w:type="spellStart"/>
            <w:r w:rsidRPr="005D1362">
              <w:rPr>
                <w:i/>
                <w:iCs/>
                <w:sz w:val="24"/>
                <w:szCs w:val="24"/>
              </w:rPr>
              <w:t>eRHR-is</w:t>
            </w:r>
            <w:proofErr w:type="spellEnd"/>
            <w:r w:rsidRPr="005D1362">
              <w:rPr>
                <w:i/>
                <w:iCs/>
                <w:sz w:val="24"/>
                <w:szCs w:val="24"/>
              </w:rPr>
              <w:t>.)</w:t>
            </w:r>
          </w:p>
        </w:tc>
      </w:tr>
      <w:tr w:rsidR="00A06A66" w:rsidRPr="005D1362" w14:paraId="7A739477" w14:textId="77777777" w:rsidTr="0051554F">
        <w:tc>
          <w:tcPr>
            <w:tcW w:w="1980" w:type="dxa"/>
            <w:vMerge/>
          </w:tcPr>
          <w:p w14:paraId="79373C98" w14:textId="77777777" w:rsidR="00A06A66" w:rsidRPr="005D1362" w:rsidRDefault="00A06A66" w:rsidP="0051554F">
            <w:pPr>
              <w:jc w:val="both"/>
              <w:rPr>
                <w:sz w:val="24"/>
                <w:szCs w:val="24"/>
              </w:rPr>
            </w:pPr>
          </w:p>
        </w:tc>
        <w:tc>
          <w:tcPr>
            <w:tcW w:w="7081" w:type="dxa"/>
          </w:tcPr>
          <w:p w14:paraId="571C79A5" w14:textId="77777777" w:rsidR="00A06A66" w:rsidRPr="005D1362" w:rsidRDefault="00A06A66" w:rsidP="0051554F">
            <w:pPr>
              <w:jc w:val="both"/>
              <w:rPr>
                <w:i/>
                <w:iCs/>
                <w:sz w:val="24"/>
                <w:szCs w:val="24"/>
              </w:rPr>
            </w:pPr>
            <w:r w:rsidRPr="005D1362">
              <w:rPr>
                <w:sz w:val="24"/>
                <w:szCs w:val="24"/>
              </w:rPr>
              <w:t xml:space="preserve">Kaebetähtaja lühenemine, mis võib raskendada hankijate ja pakkujate õiguskaitset. </w:t>
            </w:r>
            <w:r w:rsidRPr="005D1362">
              <w:rPr>
                <w:i/>
                <w:iCs/>
                <w:sz w:val="24"/>
                <w:szCs w:val="24"/>
              </w:rPr>
              <w:t>(Leevendada saab tähtaegade üle vaatamisega.)</w:t>
            </w:r>
          </w:p>
        </w:tc>
      </w:tr>
      <w:tr w:rsidR="00A06A66" w:rsidRPr="005D1362" w14:paraId="1CA9C6E2" w14:textId="77777777" w:rsidTr="0051554F">
        <w:tc>
          <w:tcPr>
            <w:tcW w:w="1980" w:type="dxa"/>
            <w:vMerge/>
          </w:tcPr>
          <w:p w14:paraId="3F139E27" w14:textId="77777777" w:rsidR="00A06A66" w:rsidRPr="005D1362" w:rsidRDefault="00A06A66" w:rsidP="0051554F">
            <w:pPr>
              <w:jc w:val="both"/>
              <w:rPr>
                <w:sz w:val="24"/>
                <w:szCs w:val="24"/>
              </w:rPr>
            </w:pPr>
          </w:p>
        </w:tc>
        <w:tc>
          <w:tcPr>
            <w:tcW w:w="7081" w:type="dxa"/>
          </w:tcPr>
          <w:p w14:paraId="6EA720FF" w14:textId="31080CA6" w:rsidR="00A06A66" w:rsidRPr="005D1362" w:rsidRDefault="00A06A66" w:rsidP="0051554F">
            <w:pPr>
              <w:jc w:val="both"/>
              <w:rPr>
                <w:sz w:val="24"/>
                <w:szCs w:val="24"/>
              </w:rPr>
            </w:pPr>
            <w:r w:rsidRPr="005D1362">
              <w:rPr>
                <w:sz w:val="24"/>
                <w:szCs w:val="24"/>
              </w:rPr>
              <w:t xml:space="preserve">Suureneb risk EL vahendite kasutamisel täiendavate finantskorrektsioonide tegemiseks nõuete rikkumise korral, eriti riigihanke eeldatava maksumuse määramisega eksimisel. Samas kui menetlus on paindlikum, esineb ka vähem rikkumisi. </w:t>
            </w:r>
          </w:p>
        </w:tc>
      </w:tr>
    </w:tbl>
    <w:p w14:paraId="383F8379" w14:textId="77777777" w:rsidR="00A06A66" w:rsidRPr="00631E96" w:rsidRDefault="00A06A66" w:rsidP="00A06A66">
      <w:pPr>
        <w:jc w:val="both"/>
        <w:rPr>
          <w:rFonts w:ascii="Times New Roman" w:hAnsi="Times New Roman"/>
        </w:rPr>
      </w:pPr>
    </w:p>
    <w:p w14:paraId="77A39BB6" w14:textId="77777777" w:rsidR="00A06A66" w:rsidRPr="00225EF9" w:rsidRDefault="00A06A66" w:rsidP="000F432D">
      <w:pPr>
        <w:spacing w:before="240" w:after="0"/>
        <w:jc w:val="both"/>
        <w:rPr>
          <w:rFonts w:ascii="Times New Roman" w:hAnsi="Times New Roman"/>
        </w:rPr>
      </w:pPr>
      <w:r w:rsidRPr="00225EF9">
        <w:rPr>
          <w:rFonts w:ascii="Times New Roman" w:hAnsi="Times New Roman"/>
        </w:rPr>
        <w:t>Lõpparuande</w:t>
      </w:r>
      <w:r>
        <w:rPr>
          <w:rFonts w:ascii="Times New Roman" w:hAnsi="Times New Roman"/>
        </w:rPr>
        <w:t xml:space="preserve"> võrdlusriikides Soomes, Rootsis ja Portugalis on kasutusel üks siseriiklik hanke piirmäär ning menetlus alla rahvusvahelise piirmäära hangetes on märgatavalt lihtsam.</w:t>
      </w:r>
    </w:p>
    <w:p w14:paraId="4D92A41C" w14:textId="2B5F0096" w:rsidR="00A06A66" w:rsidRDefault="00A06A66" w:rsidP="29495DEB">
      <w:pPr>
        <w:spacing w:before="240" w:after="0"/>
        <w:jc w:val="both"/>
        <w:rPr>
          <w:rFonts w:ascii="Times New Roman" w:hAnsi="Times New Roman"/>
          <w:i/>
          <w:iCs/>
        </w:rPr>
      </w:pPr>
      <w:r w:rsidRPr="29495DEB">
        <w:rPr>
          <w:rFonts w:ascii="Times New Roman" w:hAnsi="Times New Roman"/>
          <w:i/>
          <w:iCs/>
        </w:rPr>
        <w:t xml:space="preserve">Alternatiivselt, tõsta riigihanke ja lihthanke piirmäärasid. 2024. aasta mais hindasime tarbijahinnaindeksi baasil lihthanke ja riigihanke piirmäära tõstmist. Sellest tulenevalt saaks 2024. aasta andmete põhjal ning võttes aluseks trendi arvutuse (lineaarsel meetodil) kaaluda 2026. aastal piirmäärade kehtestamist </w:t>
      </w:r>
      <w:r w:rsidR="000963D9" w:rsidRPr="29495DEB">
        <w:rPr>
          <w:rFonts w:ascii="Times New Roman" w:hAnsi="Times New Roman"/>
          <w:i/>
          <w:iCs/>
        </w:rPr>
        <w:t>järgmiselt</w:t>
      </w:r>
      <w:r w:rsidRPr="29495DEB">
        <w:rPr>
          <w:rFonts w:ascii="Times New Roman" w:hAnsi="Times New Roman"/>
          <w:i/>
          <w:iCs/>
        </w:rPr>
        <w:t xml:space="preserve">: </w:t>
      </w:r>
    </w:p>
    <w:p w14:paraId="0DAEA196" w14:textId="77777777" w:rsidR="00A06A66" w:rsidRDefault="00A06A66" w:rsidP="000F432D">
      <w:pPr>
        <w:pStyle w:val="Loendilik"/>
        <w:numPr>
          <w:ilvl w:val="0"/>
          <w:numId w:val="1"/>
        </w:numPr>
        <w:spacing w:before="240" w:after="0" w:line="240" w:lineRule="auto"/>
        <w:jc w:val="both"/>
        <w:rPr>
          <w:rFonts w:ascii="Times New Roman" w:hAnsi="Times New Roman"/>
          <w:i/>
        </w:rPr>
      </w:pPr>
      <w:r>
        <w:rPr>
          <w:rFonts w:ascii="Times New Roman" w:hAnsi="Times New Roman"/>
          <w:i/>
        </w:rPr>
        <w:t>asjade ja teenuste lihthanke puhul – ca 50 000 eurot;</w:t>
      </w:r>
    </w:p>
    <w:p w14:paraId="7AE0B783" w14:textId="5842552B" w:rsidR="005D1362" w:rsidRPr="000F432D" w:rsidRDefault="00A06A66" w:rsidP="005D1362">
      <w:pPr>
        <w:pStyle w:val="Loendilik"/>
        <w:numPr>
          <w:ilvl w:val="0"/>
          <w:numId w:val="1"/>
        </w:numPr>
        <w:spacing w:before="240" w:after="0" w:line="240" w:lineRule="auto"/>
        <w:jc w:val="both"/>
        <w:rPr>
          <w:rFonts w:ascii="Times New Roman" w:hAnsi="Times New Roman" w:cs="Times New Roman"/>
          <w:i/>
          <w:iCs/>
        </w:rPr>
      </w:pPr>
      <w:r w:rsidRPr="00DA5285">
        <w:rPr>
          <w:rFonts w:ascii="Times New Roman" w:hAnsi="Times New Roman"/>
          <w:i/>
        </w:rPr>
        <w:t>asjade ja teenuste riigihanke puhul – ca 100 000 eurot.</w:t>
      </w:r>
    </w:p>
    <w:p w14:paraId="136285F6" w14:textId="77777777" w:rsidR="005D1362" w:rsidRPr="005D1362" w:rsidRDefault="005D1362" w:rsidP="00A06A66">
      <w:pPr>
        <w:jc w:val="both"/>
        <w:rPr>
          <w:rFonts w:ascii="Times New Roman" w:hAnsi="Times New Roman" w:cs="Times New Roman"/>
          <w:i/>
          <w:iCs/>
        </w:rPr>
      </w:pPr>
    </w:p>
    <w:tbl>
      <w:tblPr>
        <w:tblStyle w:val="Kontuurtabel"/>
        <w:tblW w:w="0" w:type="auto"/>
        <w:tblLook w:val="04A0" w:firstRow="1" w:lastRow="0" w:firstColumn="1" w:lastColumn="0" w:noHBand="0" w:noVBand="1"/>
      </w:tblPr>
      <w:tblGrid>
        <w:gridCol w:w="975"/>
        <w:gridCol w:w="729"/>
        <w:gridCol w:w="1415"/>
        <w:gridCol w:w="1157"/>
        <w:gridCol w:w="1690"/>
        <w:gridCol w:w="1182"/>
        <w:gridCol w:w="1914"/>
      </w:tblGrid>
      <w:tr w:rsidR="00A06A66" w:rsidRPr="005D1362" w14:paraId="11FB68FB" w14:textId="77777777" w:rsidTr="0051554F">
        <w:tc>
          <w:tcPr>
            <w:tcW w:w="976" w:type="dxa"/>
            <w:vMerge w:val="restart"/>
          </w:tcPr>
          <w:p w14:paraId="53544811" w14:textId="77777777" w:rsidR="00A06A66" w:rsidRPr="005D1362" w:rsidRDefault="00A06A66" w:rsidP="0051554F">
            <w:pPr>
              <w:jc w:val="both"/>
              <w:rPr>
                <w:i/>
                <w:iCs/>
                <w:sz w:val="16"/>
                <w:szCs w:val="16"/>
              </w:rPr>
            </w:pPr>
            <w:r w:rsidRPr="005D1362">
              <w:rPr>
                <w:i/>
                <w:iCs/>
                <w:sz w:val="16"/>
                <w:szCs w:val="16"/>
              </w:rPr>
              <w:t>Aasta</w:t>
            </w:r>
          </w:p>
        </w:tc>
        <w:tc>
          <w:tcPr>
            <w:tcW w:w="716" w:type="dxa"/>
            <w:vMerge w:val="restart"/>
          </w:tcPr>
          <w:p w14:paraId="635D90B6" w14:textId="77777777" w:rsidR="00A06A66" w:rsidRPr="005D1362" w:rsidRDefault="00A06A66" w:rsidP="0051554F">
            <w:pPr>
              <w:jc w:val="both"/>
              <w:rPr>
                <w:i/>
                <w:iCs/>
                <w:sz w:val="16"/>
                <w:szCs w:val="16"/>
              </w:rPr>
            </w:pPr>
            <w:r w:rsidRPr="005D1362">
              <w:rPr>
                <w:i/>
                <w:iCs/>
                <w:sz w:val="16"/>
                <w:szCs w:val="16"/>
              </w:rPr>
              <w:t>THI muutus</w:t>
            </w:r>
            <w:r w:rsidRPr="005D1362">
              <w:rPr>
                <w:rStyle w:val="Allmrkuseviide"/>
                <w:i/>
                <w:iCs/>
                <w:sz w:val="16"/>
                <w:szCs w:val="16"/>
              </w:rPr>
              <w:footnoteReference w:id="5"/>
            </w:r>
          </w:p>
        </w:tc>
        <w:tc>
          <w:tcPr>
            <w:tcW w:w="2576" w:type="dxa"/>
            <w:gridSpan w:val="2"/>
          </w:tcPr>
          <w:p w14:paraId="17857C79" w14:textId="77777777" w:rsidR="00A06A66" w:rsidRPr="005D1362" w:rsidRDefault="00A06A66" w:rsidP="005D1362">
            <w:pPr>
              <w:jc w:val="center"/>
              <w:rPr>
                <w:i/>
                <w:iCs/>
                <w:sz w:val="16"/>
                <w:szCs w:val="16"/>
              </w:rPr>
            </w:pPr>
            <w:r w:rsidRPr="005D1362">
              <w:rPr>
                <w:i/>
                <w:iCs/>
                <w:sz w:val="16"/>
                <w:szCs w:val="16"/>
              </w:rPr>
              <w:t>Lihthange</w:t>
            </w:r>
          </w:p>
        </w:tc>
        <w:tc>
          <w:tcPr>
            <w:tcW w:w="4793" w:type="dxa"/>
            <w:gridSpan w:val="3"/>
          </w:tcPr>
          <w:p w14:paraId="7704E613" w14:textId="77777777" w:rsidR="00A06A66" w:rsidRPr="005D1362" w:rsidRDefault="00A06A66" w:rsidP="005D1362">
            <w:pPr>
              <w:jc w:val="center"/>
              <w:rPr>
                <w:i/>
                <w:iCs/>
                <w:sz w:val="16"/>
                <w:szCs w:val="16"/>
              </w:rPr>
            </w:pPr>
            <w:r w:rsidRPr="005D1362">
              <w:rPr>
                <w:i/>
                <w:iCs/>
                <w:sz w:val="16"/>
                <w:szCs w:val="16"/>
              </w:rPr>
              <w:t>Riigihange</w:t>
            </w:r>
          </w:p>
        </w:tc>
      </w:tr>
      <w:tr w:rsidR="00A06A66" w:rsidRPr="005D1362" w14:paraId="078F9697" w14:textId="77777777" w:rsidTr="0051554F">
        <w:tc>
          <w:tcPr>
            <w:tcW w:w="976" w:type="dxa"/>
            <w:vMerge/>
          </w:tcPr>
          <w:p w14:paraId="74F7253F" w14:textId="77777777" w:rsidR="00A06A66" w:rsidRPr="005D1362" w:rsidRDefault="00A06A66" w:rsidP="0051554F">
            <w:pPr>
              <w:jc w:val="both"/>
              <w:rPr>
                <w:i/>
                <w:iCs/>
                <w:sz w:val="16"/>
                <w:szCs w:val="16"/>
              </w:rPr>
            </w:pPr>
          </w:p>
        </w:tc>
        <w:tc>
          <w:tcPr>
            <w:tcW w:w="716" w:type="dxa"/>
            <w:vMerge/>
          </w:tcPr>
          <w:p w14:paraId="485CC757" w14:textId="77777777" w:rsidR="00A06A66" w:rsidRPr="005D1362" w:rsidRDefault="00A06A66" w:rsidP="0051554F">
            <w:pPr>
              <w:jc w:val="both"/>
              <w:rPr>
                <w:i/>
                <w:iCs/>
                <w:sz w:val="16"/>
                <w:szCs w:val="16"/>
              </w:rPr>
            </w:pPr>
          </w:p>
        </w:tc>
        <w:tc>
          <w:tcPr>
            <w:tcW w:w="1418" w:type="dxa"/>
          </w:tcPr>
          <w:p w14:paraId="2A582C59" w14:textId="77777777" w:rsidR="00A06A66" w:rsidRPr="005D1362" w:rsidRDefault="00A06A66" w:rsidP="0051554F">
            <w:pPr>
              <w:jc w:val="both"/>
              <w:rPr>
                <w:i/>
                <w:iCs/>
                <w:sz w:val="16"/>
                <w:szCs w:val="16"/>
              </w:rPr>
            </w:pPr>
            <w:r w:rsidRPr="005D1362">
              <w:rPr>
                <w:i/>
                <w:iCs/>
                <w:sz w:val="16"/>
                <w:szCs w:val="16"/>
              </w:rPr>
              <w:t>Asjad ja teenused</w:t>
            </w:r>
          </w:p>
        </w:tc>
        <w:tc>
          <w:tcPr>
            <w:tcW w:w="1158" w:type="dxa"/>
          </w:tcPr>
          <w:p w14:paraId="13AA20B6" w14:textId="77777777" w:rsidR="00A06A66" w:rsidRPr="005D1362" w:rsidRDefault="00A06A66" w:rsidP="0051554F">
            <w:pPr>
              <w:jc w:val="both"/>
              <w:rPr>
                <w:i/>
                <w:iCs/>
                <w:sz w:val="16"/>
                <w:szCs w:val="16"/>
              </w:rPr>
            </w:pPr>
            <w:r w:rsidRPr="005D1362">
              <w:rPr>
                <w:i/>
                <w:iCs/>
                <w:sz w:val="16"/>
                <w:szCs w:val="16"/>
              </w:rPr>
              <w:t xml:space="preserve">Ehitustööd </w:t>
            </w:r>
          </w:p>
          <w:p w14:paraId="00B59972" w14:textId="77777777" w:rsidR="00A06A66" w:rsidRPr="005D1362" w:rsidRDefault="00A06A66" w:rsidP="0051554F">
            <w:pPr>
              <w:jc w:val="both"/>
              <w:rPr>
                <w:i/>
                <w:iCs/>
                <w:sz w:val="16"/>
                <w:szCs w:val="16"/>
              </w:rPr>
            </w:pPr>
            <w:r w:rsidRPr="005D1362">
              <w:rPr>
                <w:i/>
                <w:iCs/>
                <w:sz w:val="16"/>
                <w:szCs w:val="16"/>
              </w:rPr>
              <w:t>Teenuste kontsessioon</w:t>
            </w:r>
          </w:p>
        </w:tc>
        <w:tc>
          <w:tcPr>
            <w:tcW w:w="1693" w:type="dxa"/>
          </w:tcPr>
          <w:p w14:paraId="51CC6E26" w14:textId="77777777" w:rsidR="00A06A66" w:rsidRPr="005D1362" w:rsidRDefault="00A06A66" w:rsidP="0051554F">
            <w:pPr>
              <w:jc w:val="both"/>
              <w:rPr>
                <w:i/>
                <w:iCs/>
                <w:sz w:val="16"/>
                <w:szCs w:val="16"/>
              </w:rPr>
            </w:pPr>
            <w:r w:rsidRPr="005D1362">
              <w:rPr>
                <w:i/>
                <w:iCs/>
                <w:sz w:val="16"/>
                <w:szCs w:val="16"/>
              </w:rPr>
              <w:t>Asjad ja teenused</w:t>
            </w:r>
          </w:p>
          <w:p w14:paraId="2AAA8970" w14:textId="77777777" w:rsidR="00A06A66" w:rsidRPr="005D1362" w:rsidRDefault="00A06A66" w:rsidP="0051554F">
            <w:pPr>
              <w:jc w:val="both"/>
              <w:rPr>
                <w:i/>
                <w:iCs/>
                <w:sz w:val="16"/>
                <w:szCs w:val="16"/>
              </w:rPr>
            </w:pPr>
            <w:r w:rsidRPr="005D1362">
              <w:rPr>
                <w:i/>
                <w:iCs/>
                <w:sz w:val="16"/>
                <w:szCs w:val="16"/>
              </w:rPr>
              <w:t>Ideekonkurss</w:t>
            </w:r>
          </w:p>
          <w:p w14:paraId="6B6766A0" w14:textId="77777777" w:rsidR="00A06A66" w:rsidRPr="005D1362" w:rsidRDefault="00A06A66" w:rsidP="0051554F">
            <w:pPr>
              <w:jc w:val="both"/>
              <w:rPr>
                <w:i/>
                <w:iCs/>
                <w:sz w:val="16"/>
                <w:szCs w:val="16"/>
              </w:rPr>
            </w:pPr>
            <w:r w:rsidRPr="005D1362">
              <w:rPr>
                <w:i/>
                <w:iCs/>
                <w:sz w:val="16"/>
                <w:szCs w:val="16"/>
              </w:rPr>
              <w:t>Eriteenused</w:t>
            </w:r>
          </w:p>
          <w:p w14:paraId="78D8F943" w14:textId="77777777" w:rsidR="00A06A66" w:rsidRPr="005D1362" w:rsidRDefault="00A06A66" w:rsidP="0051554F">
            <w:pPr>
              <w:jc w:val="both"/>
              <w:rPr>
                <w:i/>
                <w:iCs/>
                <w:sz w:val="16"/>
                <w:szCs w:val="16"/>
              </w:rPr>
            </w:pPr>
            <w:r w:rsidRPr="005D1362">
              <w:rPr>
                <w:i/>
                <w:iCs/>
                <w:sz w:val="16"/>
                <w:szCs w:val="16"/>
              </w:rPr>
              <w:t>Eriteenuste kontsessioon</w:t>
            </w:r>
          </w:p>
        </w:tc>
        <w:tc>
          <w:tcPr>
            <w:tcW w:w="1183" w:type="dxa"/>
          </w:tcPr>
          <w:p w14:paraId="36DF8A55" w14:textId="77777777" w:rsidR="00A06A66" w:rsidRPr="005D1362" w:rsidRDefault="00A06A66" w:rsidP="0051554F">
            <w:pPr>
              <w:jc w:val="both"/>
              <w:rPr>
                <w:i/>
                <w:iCs/>
                <w:sz w:val="16"/>
                <w:szCs w:val="16"/>
              </w:rPr>
            </w:pPr>
            <w:r w:rsidRPr="005D1362">
              <w:rPr>
                <w:i/>
                <w:iCs/>
                <w:sz w:val="16"/>
                <w:szCs w:val="16"/>
              </w:rPr>
              <w:t>Ehitustööd</w:t>
            </w:r>
          </w:p>
        </w:tc>
        <w:tc>
          <w:tcPr>
            <w:tcW w:w="1917" w:type="dxa"/>
          </w:tcPr>
          <w:p w14:paraId="38CAB69F" w14:textId="77777777" w:rsidR="00A06A66" w:rsidRPr="005D1362" w:rsidRDefault="00A06A66" w:rsidP="0051554F">
            <w:pPr>
              <w:jc w:val="both"/>
              <w:rPr>
                <w:i/>
                <w:iCs/>
                <w:sz w:val="16"/>
                <w:szCs w:val="16"/>
              </w:rPr>
            </w:pPr>
            <w:r w:rsidRPr="005D1362">
              <w:rPr>
                <w:i/>
                <w:iCs/>
                <w:sz w:val="16"/>
                <w:szCs w:val="16"/>
              </w:rPr>
              <w:t>Sotsiaalteenused</w:t>
            </w:r>
          </w:p>
          <w:p w14:paraId="53CCC023" w14:textId="77777777" w:rsidR="00A06A66" w:rsidRPr="005D1362" w:rsidRDefault="00A06A66" w:rsidP="0051554F">
            <w:pPr>
              <w:jc w:val="both"/>
              <w:rPr>
                <w:i/>
                <w:iCs/>
                <w:sz w:val="16"/>
                <w:szCs w:val="16"/>
              </w:rPr>
            </w:pPr>
            <w:r w:rsidRPr="005D1362">
              <w:rPr>
                <w:i/>
                <w:iCs/>
                <w:sz w:val="16"/>
                <w:szCs w:val="16"/>
              </w:rPr>
              <w:t>Teenuste kontsessioon</w:t>
            </w:r>
          </w:p>
          <w:p w14:paraId="70F3D867" w14:textId="77777777" w:rsidR="00A06A66" w:rsidRPr="005D1362" w:rsidRDefault="00A06A66" w:rsidP="0051554F">
            <w:pPr>
              <w:jc w:val="both"/>
              <w:rPr>
                <w:i/>
                <w:iCs/>
                <w:sz w:val="16"/>
                <w:szCs w:val="16"/>
              </w:rPr>
            </w:pPr>
            <w:r w:rsidRPr="005D1362">
              <w:rPr>
                <w:i/>
                <w:iCs/>
                <w:sz w:val="16"/>
                <w:szCs w:val="16"/>
              </w:rPr>
              <w:t>Sotsiaalteenuse kontsessioon</w:t>
            </w:r>
          </w:p>
          <w:p w14:paraId="55C1D184" w14:textId="77777777" w:rsidR="00A06A66" w:rsidRPr="005D1362" w:rsidRDefault="00A06A66" w:rsidP="0051554F">
            <w:pPr>
              <w:jc w:val="both"/>
              <w:rPr>
                <w:i/>
                <w:iCs/>
                <w:sz w:val="16"/>
                <w:szCs w:val="16"/>
              </w:rPr>
            </w:pPr>
            <w:r w:rsidRPr="005D1362">
              <w:rPr>
                <w:i/>
                <w:iCs/>
                <w:sz w:val="16"/>
                <w:szCs w:val="16"/>
              </w:rPr>
              <w:t>Ehitustööde kontsessioon</w:t>
            </w:r>
          </w:p>
        </w:tc>
      </w:tr>
      <w:tr w:rsidR="00A06A66" w:rsidRPr="005D1362" w14:paraId="6F1F3511" w14:textId="77777777" w:rsidTr="0051554F">
        <w:tc>
          <w:tcPr>
            <w:tcW w:w="976" w:type="dxa"/>
          </w:tcPr>
          <w:p w14:paraId="2A90C5F8" w14:textId="77777777" w:rsidR="00A06A66" w:rsidRPr="005D1362" w:rsidRDefault="00A06A66" w:rsidP="0051554F">
            <w:pPr>
              <w:jc w:val="both"/>
              <w:rPr>
                <w:b/>
                <w:bCs/>
                <w:sz w:val="16"/>
                <w:szCs w:val="16"/>
              </w:rPr>
            </w:pPr>
            <w:r w:rsidRPr="005D1362">
              <w:rPr>
                <w:b/>
                <w:bCs/>
                <w:sz w:val="16"/>
                <w:szCs w:val="16"/>
              </w:rPr>
              <w:t>01.09.2017</w:t>
            </w:r>
          </w:p>
        </w:tc>
        <w:tc>
          <w:tcPr>
            <w:tcW w:w="716" w:type="dxa"/>
          </w:tcPr>
          <w:p w14:paraId="0F078DE5" w14:textId="77777777" w:rsidR="00A06A66" w:rsidRPr="005D1362" w:rsidRDefault="00A06A66" w:rsidP="0051554F">
            <w:pPr>
              <w:jc w:val="both"/>
              <w:rPr>
                <w:b/>
                <w:bCs/>
                <w:sz w:val="16"/>
                <w:szCs w:val="16"/>
              </w:rPr>
            </w:pPr>
          </w:p>
        </w:tc>
        <w:tc>
          <w:tcPr>
            <w:tcW w:w="1418" w:type="dxa"/>
          </w:tcPr>
          <w:p w14:paraId="2FDB32A7" w14:textId="77777777" w:rsidR="00A06A66" w:rsidRPr="005D1362" w:rsidRDefault="00A06A66" w:rsidP="0051554F">
            <w:pPr>
              <w:jc w:val="both"/>
              <w:rPr>
                <w:b/>
                <w:bCs/>
                <w:sz w:val="16"/>
                <w:szCs w:val="16"/>
              </w:rPr>
            </w:pPr>
            <w:r w:rsidRPr="005D1362">
              <w:rPr>
                <w:b/>
                <w:bCs/>
                <w:sz w:val="16"/>
                <w:szCs w:val="16"/>
              </w:rPr>
              <w:t>30 000</w:t>
            </w:r>
          </w:p>
        </w:tc>
        <w:tc>
          <w:tcPr>
            <w:tcW w:w="1158" w:type="dxa"/>
          </w:tcPr>
          <w:p w14:paraId="07330DCF" w14:textId="77777777" w:rsidR="00A06A66" w:rsidRPr="005D1362" w:rsidRDefault="00A06A66" w:rsidP="0051554F">
            <w:pPr>
              <w:jc w:val="both"/>
              <w:rPr>
                <w:b/>
                <w:bCs/>
                <w:sz w:val="16"/>
                <w:szCs w:val="16"/>
              </w:rPr>
            </w:pPr>
            <w:r w:rsidRPr="005D1362">
              <w:rPr>
                <w:b/>
                <w:bCs/>
                <w:sz w:val="16"/>
                <w:szCs w:val="16"/>
              </w:rPr>
              <w:t>60 000</w:t>
            </w:r>
          </w:p>
        </w:tc>
        <w:tc>
          <w:tcPr>
            <w:tcW w:w="1693" w:type="dxa"/>
          </w:tcPr>
          <w:p w14:paraId="4CA56935" w14:textId="77777777" w:rsidR="00A06A66" w:rsidRPr="005D1362" w:rsidRDefault="00A06A66" w:rsidP="0051554F">
            <w:pPr>
              <w:jc w:val="both"/>
              <w:rPr>
                <w:b/>
                <w:bCs/>
                <w:sz w:val="16"/>
                <w:szCs w:val="16"/>
              </w:rPr>
            </w:pPr>
            <w:r w:rsidRPr="005D1362">
              <w:rPr>
                <w:b/>
                <w:bCs/>
                <w:sz w:val="16"/>
                <w:szCs w:val="16"/>
              </w:rPr>
              <w:t>60 000</w:t>
            </w:r>
          </w:p>
        </w:tc>
        <w:tc>
          <w:tcPr>
            <w:tcW w:w="1183" w:type="dxa"/>
          </w:tcPr>
          <w:p w14:paraId="00C1FA23" w14:textId="77777777" w:rsidR="00A06A66" w:rsidRPr="005D1362" w:rsidRDefault="00A06A66" w:rsidP="0051554F">
            <w:pPr>
              <w:jc w:val="both"/>
              <w:rPr>
                <w:b/>
                <w:bCs/>
                <w:sz w:val="16"/>
                <w:szCs w:val="16"/>
              </w:rPr>
            </w:pPr>
            <w:r w:rsidRPr="005D1362">
              <w:rPr>
                <w:b/>
                <w:bCs/>
                <w:sz w:val="16"/>
                <w:szCs w:val="16"/>
              </w:rPr>
              <w:t>150 000</w:t>
            </w:r>
          </w:p>
        </w:tc>
        <w:tc>
          <w:tcPr>
            <w:tcW w:w="1917" w:type="dxa"/>
          </w:tcPr>
          <w:p w14:paraId="2CA5C910" w14:textId="77777777" w:rsidR="00A06A66" w:rsidRPr="005D1362" w:rsidRDefault="00A06A66" w:rsidP="0051554F">
            <w:pPr>
              <w:jc w:val="both"/>
              <w:rPr>
                <w:b/>
                <w:bCs/>
                <w:sz w:val="16"/>
                <w:szCs w:val="16"/>
              </w:rPr>
            </w:pPr>
            <w:r w:rsidRPr="005D1362">
              <w:rPr>
                <w:b/>
                <w:bCs/>
                <w:sz w:val="16"/>
                <w:szCs w:val="16"/>
              </w:rPr>
              <w:t>300 000</w:t>
            </w:r>
          </w:p>
        </w:tc>
      </w:tr>
      <w:tr w:rsidR="00A06A66" w:rsidRPr="005D1362" w14:paraId="7DA6B346" w14:textId="77777777" w:rsidTr="0051554F">
        <w:tc>
          <w:tcPr>
            <w:tcW w:w="976" w:type="dxa"/>
          </w:tcPr>
          <w:p w14:paraId="1B43B2BE" w14:textId="77777777" w:rsidR="00A06A66" w:rsidRPr="005D1362" w:rsidRDefault="00A06A66" w:rsidP="0051554F">
            <w:pPr>
              <w:jc w:val="both"/>
              <w:rPr>
                <w:sz w:val="16"/>
                <w:szCs w:val="16"/>
              </w:rPr>
            </w:pPr>
            <w:r w:rsidRPr="005D1362">
              <w:rPr>
                <w:sz w:val="16"/>
                <w:szCs w:val="16"/>
              </w:rPr>
              <w:t>2018</w:t>
            </w:r>
          </w:p>
        </w:tc>
        <w:tc>
          <w:tcPr>
            <w:tcW w:w="716" w:type="dxa"/>
          </w:tcPr>
          <w:p w14:paraId="0F2CF1ED" w14:textId="77777777" w:rsidR="00A06A66" w:rsidRPr="005D1362" w:rsidRDefault="00A06A66" w:rsidP="0051554F">
            <w:pPr>
              <w:jc w:val="both"/>
              <w:rPr>
                <w:sz w:val="16"/>
                <w:szCs w:val="16"/>
              </w:rPr>
            </w:pPr>
            <w:r w:rsidRPr="005D1362">
              <w:rPr>
                <w:sz w:val="16"/>
                <w:szCs w:val="16"/>
              </w:rPr>
              <w:t>3,4%</w:t>
            </w:r>
          </w:p>
        </w:tc>
        <w:tc>
          <w:tcPr>
            <w:tcW w:w="1418" w:type="dxa"/>
          </w:tcPr>
          <w:p w14:paraId="4A49CED7" w14:textId="77777777" w:rsidR="00A06A66" w:rsidRPr="005D1362" w:rsidRDefault="00A06A66" w:rsidP="0051554F">
            <w:pPr>
              <w:jc w:val="both"/>
              <w:rPr>
                <w:sz w:val="16"/>
                <w:szCs w:val="16"/>
              </w:rPr>
            </w:pPr>
            <w:r w:rsidRPr="005D1362">
              <w:rPr>
                <w:sz w:val="16"/>
                <w:szCs w:val="16"/>
              </w:rPr>
              <w:t>31 020</w:t>
            </w:r>
          </w:p>
        </w:tc>
        <w:tc>
          <w:tcPr>
            <w:tcW w:w="1158" w:type="dxa"/>
          </w:tcPr>
          <w:p w14:paraId="0C90DB5C" w14:textId="77777777" w:rsidR="00A06A66" w:rsidRPr="005D1362" w:rsidRDefault="00A06A66" w:rsidP="0051554F">
            <w:pPr>
              <w:jc w:val="both"/>
              <w:rPr>
                <w:sz w:val="16"/>
                <w:szCs w:val="16"/>
              </w:rPr>
            </w:pPr>
            <w:r w:rsidRPr="005D1362">
              <w:rPr>
                <w:sz w:val="16"/>
                <w:szCs w:val="16"/>
              </w:rPr>
              <w:t>62 040</w:t>
            </w:r>
          </w:p>
        </w:tc>
        <w:tc>
          <w:tcPr>
            <w:tcW w:w="1693" w:type="dxa"/>
          </w:tcPr>
          <w:p w14:paraId="2C3C1650" w14:textId="77777777" w:rsidR="00A06A66" w:rsidRPr="005D1362" w:rsidRDefault="00A06A66" w:rsidP="0051554F">
            <w:pPr>
              <w:jc w:val="both"/>
              <w:rPr>
                <w:sz w:val="16"/>
                <w:szCs w:val="16"/>
              </w:rPr>
            </w:pPr>
            <w:r w:rsidRPr="005D1362">
              <w:rPr>
                <w:sz w:val="16"/>
                <w:szCs w:val="16"/>
              </w:rPr>
              <w:t>62 040</w:t>
            </w:r>
          </w:p>
        </w:tc>
        <w:tc>
          <w:tcPr>
            <w:tcW w:w="1183" w:type="dxa"/>
          </w:tcPr>
          <w:p w14:paraId="1830D641" w14:textId="77777777" w:rsidR="00A06A66" w:rsidRPr="005D1362" w:rsidRDefault="00A06A66" w:rsidP="0051554F">
            <w:pPr>
              <w:jc w:val="both"/>
              <w:rPr>
                <w:sz w:val="16"/>
                <w:szCs w:val="16"/>
              </w:rPr>
            </w:pPr>
            <w:r w:rsidRPr="005D1362">
              <w:rPr>
                <w:sz w:val="16"/>
                <w:szCs w:val="16"/>
              </w:rPr>
              <w:t>155 100</w:t>
            </w:r>
          </w:p>
        </w:tc>
        <w:tc>
          <w:tcPr>
            <w:tcW w:w="1917" w:type="dxa"/>
          </w:tcPr>
          <w:p w14:paraId="24983144" w14:textId="77777777" w:rsidR="00A06A66" w:rsidRPr="005D1362" w:rsidRDefault="00A06A66" w:rsidP="0051554F">
            <w:pPr>
              <w:jc w:val="both"/>
              <w:rPr>
                <w:sz w:val="16"/>
                <w:szCs w:val="16"/>
              </w:rPr>
            </w:pPr>
            <w:r w:rsidRPr="005D1362">
              <w:rPr>
                <w:sz w:val="16"/>
                <w:szCs w:val="16"/>
              </w:rPr>
              <w:t>310 200</w:t>
            </w:r>
          </w:p>
        </w:tc>
      </w:tr>
      <w:tr w:rsidR="00A06A66" w:rsidRPr="005D1362" w14:paraId="2D15E7E9" w14:textId="77777777" w:rsidTr="0051554F">
        <w:tc>
          <w:tcPr>
            <w:tcW w:w="976" w:type="dxa"/>
          </w:tcPr>
          <w:p w14:paraId="7F387FC2" w14:textId="77777777" w:rsidR="00A06A66" w:rsidRPr="005D1362" w:rsidRDefault="00A06A66" w:rsidP="0051554F">
            <w:pPr>
              <w:jc w:val="both"/>
              <w:rPr>
                <w:sz w:val="16"/>
                <w:szCs w:val="16"/>
              </w:rPr>
            </w:pPr>
            <w:r w:rsidRPr="005D1362">
              <w:rPr>
                <w:sz w:val="16"/>
                <w:szCs w:val="16"/>
              </w:rPr>
              <w:t>2019</w:t>
            </w:r>
          </w:p>
        </w:tc>
        <w:tc>
          <w:tcPr>
            <w:tcW w:w="716" w:type="dxa"/>
          </w:tcPr>
          <w:p w14:paraId="358A3515" w14:textId="77777777" w:rsidR="00A06A66" w:rsidRPr="005D1362" w:rsidRDefault="00A06A66" w:rsidP="0051554F">
            <w:pPr>
              <w:jc w:val="both"/>
              <w:rPr>
                <w:sz w:val="16"/>
                <w:szCs w:val="16"/>
              </w:rPr>
            </w:pPr>
            <w:r w:rsidRPr="005D1362">
              <w:rPr>
                <w:sz w:val="16"/>
                <w:szCs w:val="16"/>
              </w:rPr>
              <w:t>2,4%</w:t>
            </w:r>
          </w:p>
        </w:tc>
        <w:tc>
          <w:tcPr>
            <w:tcW w:w="1418" w:type="dxa"/>
          </w:tcPr>
          <w:p w14:paraId="122326FF" w14:textId="77777777" w:rsidR="00A06A66" w:rsidRPr="005D1362" w:rsidRDefault="00A06A66" w:rsidP="0051554F">
            <w:pPr>
              <w:jc w:val="both"/>
              <w:rPr>
                <w:sz w:val="16"/>
                <w:szCs w:val="16"/>
              </w:rPr>
            </w:pPr>
            <w:r w:rsidRPr="005D1362">
              <w:rPr>
                <w:sz w:val="16"/>
                <w:szCs w:val="16"/>
              </w:rPr>
              <w:t>31 740</w:t>
            </w:r>
          </w:p>
        </w:tc>
        <w:tc>
          <w:tcPr>
            <w:tcW w:w="1158" w:type="dxa"/>
          </w:tcPr>
          <w:p w14:paraId="699BB93C" w14:textId="77777777" w:rsidR="00A06A66" w:rsidRPr="005D1362" w:rsidRDefault="00A06A66" w:rsidP="0051554F">
            <w:pPr>
              <w:jc w:val="both"/>
              <w:rPr>
                <w:sz w:val="16"/>
                <w:szCs w:val="16"/>
              </w:rPr>
            </w:pPr>
            <w:r w:rsidRPr="005D1362">
              <w:rPr>
                <w:sz w:val="16"/>
                <w:szCs w:val="16"/>
              </w:rPr>
              <w:t>63 840</w:t>
            </w:r>
          </w:p>
        </w:tc>
        <w:tc>
          <w:tcPr>
            <w:tcW w:w="1693" w:type="dxa"/>
          </w:tcPr>
          <w:p w14:paraId="161E2045" w14:textId="77777777" w:rsidR="00A06A66" w:rsidRPr="005D1362" w:rsidRDefault="00A06A66" w:rsidP="0051554F">
            <w:pPr>
              <w:jc w:val="both"/>
              <w:rPr>
                <w:sz w:val="16"/>
                <w:szCs w:val="16"/>
              </w:rPr>
            </w:pPr>
            <w:r w:rsidRPr="005D1362">
              <w:rPr>
                <w:sz w:val="16"/>
                <w:szCs w:val="16"/>
              </w:rPr>
              <w:t>63 840</w:t>
            </w:r>
          </w:p>
        </w:tc>
        <w:tc>
          <w:tcPr>
            <w:tcW w:w="1183" w:type="dxa"/>
          </w:tcPr>
          <w:p w14:paraId="1CC8B901" w14:textId="77777777" w:rsidR="00A06A66" w:rsidRPr="005D1362" w:rsidRDefault="00A06A66" w:rsidP="0051554F">
            <w:pPr>
              <w:jc w:val="both"/>
              <w:rPr>
                <w:sz w:val="16"/>
                <w:szCs w:val="16"/>
              </w:rPr>
            </w:pPr>
            <w:r w:rsidRPr="005D1362">
              <w:rPr>
                <w:sz w:val="16"/>
                <w:szCs w:val="16"/>
              </w:rPr>
              <w:t>158 700</w:t>
            </w:r>
          </w:p>
        </w:tc>
        <w:tc>
          <w:tcPr>
            <w:tcW w:w="1917" w:type="dxa"/>
          </w:tcPr>
          <w:p w14:paraId="5B6E2F35" w14:textId="77777777" w:rsidR="00A06A66" w:rsidRPr="005D1362" w:rsidRDefault="00A06A66" w:rsidP="0051554F">
            <w:pPr>
              <w:jc w:val="both"/>
              <w:rPr>
                <w:sz w:val="16"/>
                <w:szCs w:val="16"/>
              </w:rPr>
            </w:pPr>
            <w:r w:rsidRPr="005D1362">
              <w:rPr>
                <w:sz w:val="16"/>
                <w:szCs w:val="16"/>
              </w:rPr>
              <w:t>317 400</w:t>
            </w:r>
          </w:p>
        </w:tc>
      </w:tr>
      <w:tr w:rsidR="00A06A66" w:rsidRPr="005D1362" w14:paraId="58B22067" w14:textId="77777777" w:rsidTr="0051554F">
        <w:tc>
          <w:tcPr>
            <w:tcW w:w="976" w:type="dxa"/>
          </w:tcPr>
          <w:p w14:paraId="3C6E9F73" w14:textId="77777777" w:rsidR="00A06A66" w:rsidRPr="005D1362" w:rsidRDefault="00A06A66" w:rsidP="0051554F">
            <w:pPr>
              <w:jc w:val="both"/>
              <w:rPr>
                <w:sz w:val="16"/>
                <w:szCs w:val="16"/>
              </w:rPr>
            </w:pPr>
            <w:r w:rsidRPr="005D1362">
              <w:rPr>
                <w:sz w:val="16"/>
                <w:szCs w:val="16"/>
              </w:rPr>
              <w:t>2020</w:t>
            </w:r>
          </w:p>
        </w:tc>
        <w:tc>
          <w:tcPr>
            <w:tcW w:w="716" w:type="dxa"/>
          </w:tcPr>
          <w:p w14:paraId="7AE7D564" w14:textId="77777777" w:rsidR="00A06A66" w:rsidRPr="005D1362" w:rsidRDefault="00A06A66" w:rsidP="0051554F">
            <w:pPr>
              <w:jc w:val="both"/>
              <w:rPr>
                <w:sz w:val="16"/>
                <w:szCs w:val="16"/>
              </w:rPr>
            </w:pPr>
            <w:r w:rsidRPr="005D1362">
              <w:rPr>
                <w:sz w:val="16"/>
                <w:szCs w:val="16"/>
              </w:rPr>
              <w:t>-0,5%</w:t>
            </w:r>
          </w:p>
        </w:tc>
        <w:tc>
          <w:tcPr>
            <w:tcW w:w="1418" w:type="dxa"/>
          </w:tcPr>
          <w:p w14:paraId="2AF25CA2" w14:textId="77777777" w:rsidR="00A06A66" w:rsidRPr="005D1362" w:rsidRDefault="00A06A66" w:rsidP="0051554F">
            <w:pPr>
              <w:jc w:val="both"/>
              <w:rPr>
                <w:sz w:val="16"/>
                <w:szCs w:val="16"/>
              </w:rPr>
            </w:pPr>
            <w:r w:rsidRPr="005D1362">
              <w:rPr>
                <w:sz w:val="16"/>
                <w:szCs w:val="16"/>
              </w:rPr>
              <w:t>31 590</w:t>
            </w:r>
          </w:p>
        </w:tc>
        <w:tc>
          <w:tcPr>
            <w:tcW w:w="1158" w:type="dxa"/>
          </w:tcPr>
          <w:p w14:paraId="2ED87DB5" w14:textId="77777777" w:rsidR="00A06A66" w:rsidRPr="005D1362" w:rsidRDefault="00A06A66" w:rsidP="0051554F">
            <w:pPr>
              <w:jc w:val="both"/>
              <w:rPr>
                <w:sz w:val="16"/>
                <w:szCs w:val="16"/>
              </w:rPr>
            </w:pPr>
            <w:r w:rsidRPr="005D1362">
              <w:rPr>
                <w:sz w:val="16"/>
                <w:szCs w:val="16"/>
              </w:rPr>
              <w:t>63 180</w:t>
            </w:r>
          </w:p>
        </w:tc>
        <w:tc>
          <w:tcPr>
            <w:tcW w:w="1693" w:type="dxa"/>
          </w:tcPr>
          <w:p w14:paraId="425B4DD7" w14:textId="77777777" w:rsidR="00A06A66" w:rsidRPr="005D1362" w:rsidRDefault="00A06A66" w:rsidP="0051554F">
            <w:pPr>
              <w:jc w:val="both"/>
              <w:rPr>
                <w:sz w:val="16"/>
                <w:szCs w:val="16"/>
              </w:rPr>
            </w:pPr>
            <w:r w:rsidRPr="005D1362">
              <w:rPr>
                <w:sz w:val="16"/>
                <w:szCs w:val="16"/>
              </w:rPr>
              <w:t>63 180</w:t>
            </w:r>
          </w:p>
        </w:tc>
        <w:tc>
          <w:tcPr>
            <w:tcW w:w="1183" w:type="dxa"/>
          </w:tcPr>
          <w:p w14:paraId="43C5F6B7" w14:textId="77777777" w:rsidR="00A06A66" w:rsidRPr="005D1362" w:rsidRDefault="00A06A66" w:rsidP="0051554F">
            <w:pPr>
              <w:jc w:val="both"/>
              <w:rPr>
                <w:sz w:val="16"/>
                <w:szCs w:val="16"/>
              </w:rPr>
            </w:pPr>
            <w:r w:rsidRPr="005D1362">
              <w:rPr>
                <w:sz w:val="16"/>
                <w:szCs w:val="16"/>
              </w:rPr>
              <w:t>157 950</w:t>
            </w:r>
          </w:p>
        </w:tc>
        <w:tc>
          <w:tcPr>
            <w:tcW w:w="1917" w:type="dxa"/>
          </w:tcPr>
          <w:p w14:paraId="1C969A82" w14:textId="77777777" w:rsidR="00A06A66" w:rsidRPr="005D1362" w:rsidRDefault="00A06A66" w:rsidP="0051554F">
            <w:pPr>
              <w:jc w:val="both"/>
              <w:rPr>
                <w:sz w:val="16"/>
                <w:szCs w:val="16"/>
              </w:rPr>
            </w:pPr>
            <w:r w:rsidRPr="005D1362">
              <w:rPr>
                <w:sz w:val="16"/>
                <w:szCs w:val="16"/>
              </w:rPr>
              <w:t>315 900</w:t>
            </w:r>
          </w:p>
        </w:tc>
      </w:tr>
      <w:tr w:rsidR="00A06A66" w:rsidRPr="005D1362" w14:paraId="27567238" w14:textId="77777777" w:rsidTr="0051554F">
        <w:tc>
          <w:tcPr>
            <w:tcW w:w="976" w:type="dxa"/>
          </w:tcPr>
          <w:p w14:paraId="4491EB94" w14:textId="77777777" w:rsidR="00A06A66" w:rsidRPr="005D1362" w:rsidRDefault="00A06A66" w:rsidP="0051554F">
            <w:pPr>
              <w:jc w:val="both"/>
              <w:rPr>
                <w:sz w:val="16"/>
                <w:szCs w:val="16"/>
              </w:rPr>
            </w:pPr>
            <w:r w:rsidRPr="005D1362">
              <w:rPr>
                <w:sz w:val="16"/>
                <w:szCs w:val="16"/>
              </w:rPr>
              <w:t>2021</w:t>
            </w:r>
          </w:p>
        </w:tc>
        <w:tc>
          <w:tcPr>
            <w:tcW w:w="716" w:type="dxa"/>
          </w:tcPr>
          <w:p w14:paraId="2D0776A4" w14:textId="77777777" w:rsidR="00A06A66" w:rsidRPr="005D1362" w:rsidRDefault="00A06A66" w:rsidP="0051554F">
            <w:pPr>
              <w:jc w:val="both"/>
              <w:rPr>
                <w:sz w:val="16"/>
                <w:szCs w:val="16"/>
              </w:rPr>
            </w:pPr>
            <w:r w:rsidRPr="005D1362">
              <w:rPr>
                <w:sz w:val="16"/>
                <w:szCs w:val="16"/>
              </w:rPr>
              <w:t>4,9%</w:t>
            </w:r>
          </w:p>
        </w:tc>
        <w:tc>
          <w:tcPr>
            <w:tcW w:w="1418" w:type="dxa"/>
          </w:tcPr>
          <w:p w14:paraId="125F3E4F" w14:textId="77777777" w:rsidR="00A06A66" w:rsidRPr="005D1362" w:rsidRDefault="00A06A66" w:rsidP="0051554F">
            <w:pPr>
              <w:jc w:val="both"/>
              <w:rPr>
                <w:sz w:val="16"/>
                <w:szCs w:val="16"/>
              </w:rPr>
            </w:pPr>
            <w:r w:rsidRPr="005D1362">
              <w:rPr>
                <w:sz w:val="16"/>
                <w:szCs w:val="16"/>
              </w:rPr>
              <w:t>33 060</w:t>
            </w:r>
          </w:p>
        </w:tc>
        <w:tc>
          <w:tcPr>
            <w:tcW w:w="1158" w:type="dxa"/>
          </w:tcPr>
          <w:p w14:paraId="6AE6102C" w14:textId="77777777" w:rsidR="00A06A66" w:rsidRPr="005D1362" w:rsidRDefault="00A06A66" w:rsidP="0051554F">
            <w:pPr>
              <w:jc w:val="both"/>
              <w:rPr>
                <w:sz w:val="16"/>
                <w:szCs w:val="16"/>
              </w:rPr>
            </w:pPr>
            <w:r w:rsidRPr="005D1362">
              <w:rPr>
                <w:sz w:val="16"/>
                <w:szCs w:val="16"/>
              </w:rPr>
              <w:t>66 120</w:t>
            </w:r>
          </w:p>
        </w:tc>
        <w:tc>
          <w:tcPr>
            <w:tcW w:w="1693" w:type="dxa"/>
          </w:tcPr>
          <w:p w14:paraId="17076006" w14:textId="77777777" w:rsidR="00A06A66" w:rsidRPr="005D1362" w:rsidRDefault="00A06A66" w:rsidP="0051554F">
            <w:pPr>
              <w:jc w:val="both"/>
              <w:rPr>
                <w:sz w:val="16"/>
                <w:szCs w:val="16"/>
              </w:rPr>
            </w:pPr>
            <w:r w:rsidRPr="005D1362">
              <w:rPr>
                <w:sz w:val="16"/>
                <w:szCs w:val="16"/>
              </w:rPr>
              <w:t>66 120</w:t>
            </w:r>
          </w:p>
        </w:tc>
        <w:tc>
          <w:tcPr>
            <w:tcW w:w="1183" w:type="dxa"/>
          </w:tcPr>
          <w:p w14:paraId="10FB795C" w14:textId="77777777" w:rsidR="00A06A66" w:rsidRPr="005D1362" w:rsidRDefault="00A06A66" w:rsidP="0051554F">
            <w:pPr>
              <w:jc w:val="both"/>
              <w:rPr>
                <w:sz w:val="16"/>
                <w:szCs w:val="16"/>
              </w:rPr>
            </w:pPr>
            <w:r w:rsidRPr="005D1362">
              <w:rPr>
                <w:sz w:val="16"/>
                <w:szCs w:val="16"/>
              </w:rPr>
              <w:t>165 300</w:t>
            </w:r>
          </w:p>
        </w:tc>
        <w:tc>
          <w:tcPr>
            <w:tcW w:w="1917" w:type="dxa"/>
          </w:tcPr>
          <w:p w14:paraId="1A6B7439" w14:textId="77777777" w:rsidR="00A06A66" w:rsidRPr="005D1362" w:rsidRDefault="00A06A66" w:rsidP="0051554F">
            <w:pPr>
              <w:jc w:val="both"/>
              <w:rPr>
                <w:sz w:val="16"/>
                <w:szCs w:val="16"/>
              </w:rPr>
            </w:pPr>
            <w:r w:rsidRPr="005D1362">
              <w:rPr>
                <w:sz w:val="16"/>
                <w:szCs w:val="16"/>
              </w:rPr>
              <w:t>330 600</w:t>
            </w:r>
          </w:p>
        </w:tc>
      </w:tr>
      <w:tr w:rsidR="00A06A66" w:rsidRPr="005D1362" w14:paraId="428194EC" w14:textId="77777777" w:rsidTr="0051554F">
        <w:tc>
          <w:tcPr>
            <w:tcW w:w="976" w:type="dxa"/>
          </w:tcPr>
          <w:p w14:paraId="3A689B12" w14:textId="77777777" w:rsidR="00A06A66" w:rsidRPr="005D1362" w:rsidRDefault="00A06A66" w:rsidP="0051554F">
            <w:pPr>
              <w:jc w:val="both"/>
              <w:rPr>
                <w:sz w:val="16"/>
                <w:szCs w:val="16"/>
              </w:rPr>
            </w:pPr>
            <w:r w:rsidRPr="005D1362">
              <w:rPr>
                <w:sz w:val="16"/>
                <w:szCs w:val="16"/>
              </w:rPr>
              <w:t>2022</w:t>
            </w:r>
          </w:p>
        </w:tc>
        <w:tc>
          <w:tcPr>
            <w:tcW w:w="716" w:type="dxa"/>
          </w:tcPr>
          <w:p w14:paraId="5A11DB60" w14:textId="77777777" w:rsidR="00A06A66" w:rsidRPr="005D1362" w:rsidRDefault="00A06A66" w:rsidP="0051554F">
            <w:pPr>
              <w:jc w:val="both"/>
              <w:rPr>
                <w:sz w:val="16"/>
                <w:szCs w:val="16"/>
              </w:rPr>
            </w:pPr>
            <w:r w:rsidRPr="005D1362">
              <w:rPr>
                <w:sz w:val="16"/>
                <w:szCs w:val="16"/>
              </w:rPr>
              <w:t>21,40%</w:t>
            </w:r>
          </w:p>
        </w:tc>
        <w:tc>
          <w:tcPr>
            <w:tcW w:w="1418" w:type="dxa"/>
          </w:tcPr>
          <w:p w14:paraId="7A19E9E8" w14:textId="77777777" w:rsidR="00A06A66" w:rsidRPr="005D1362" w:rsidRDefault="00A06A66" w:rsidP="0051554F">
            <w:pPr>
              <w:jc w:val="both"/>
              <w:rPr>
                <w:sz w:val="16"/>
                <w:szCs w:val="16"/>
              </w:rPr>
            </w:pPr>
            <w:r w:rsidRPr="005D1362">
              <w:rPr>
                <w:sz w:val="16"/>
                <w:szCs w:val="16"/>
              </w:rPr>
              <w:t>39 480</w:t>
            </w:r>
          </w:p>
        </w:tc>
        <w:tc>
          <w:tcPr>
            <w:tcW w:w="1158" w:type="dxa"/>
          </w:tcPr>
          <w:p w14:paraId="4F2F6909" w14:textId="77777777" w:rsidR="00A06A66" w:rsidRPr="005D1362" w:rsidRDefault="00A06A66" w:rsidP="0051554F">
            <w:pPr>
              <w:jc w:val="both"/>
              <w:rPr>
                <w:sz w:val="16"/>
                <w:szCs w:val="16"/>
              </w:rPr>
            </w:pPr>
            <w:r w:rsidRPr="005D1362">
              <w:rPr>
                <w:sz w:val="16"/>
                <w:szCs w:val="16"/>
              </w:rPr>
              <w:t>78 960</w:t>
            </w:r>
          </w:p>
        </w:tc>
        <w:tc>
          <w:tcPr>
            <w:tcW w:w="1693" w:type="dxa"/>
          </w:tcPr>
          <w:p w14:paraId="68DD4C91" w14:textId="77777777" w:rsidR="00A06A66" w:rsidRPr="005D1362" w:rsidRDefault="00A06A66" w:rsidP="0051554F">
            <w:pPr>
              <w:jc w:val="both"/>
              <w:rPr>
                <w:sz w:val="16"/>
                <w:szCs w:val="16"/>
              </w:rPr>
            </w:pPr>
            <w:r w:rsidRPr="005D1362">
              <w:rPr>
                <w:sz w:val="16"/>
                <w:szCs w:val="16"/>
              </w:rPr>
              <w:t>78 960</w:t>
            </w:r>
          </w:p>
        </w:tc>
        <w:tc>
          <w:tcPr>
            <w:tcW w:w="1183" w:type="dxa"/>
          </w:tcPr>
          <w:p w14:paraId="0CCF4FC3" w14:textId="77777777" w:rsidR="00A06A66" w:rsidRPr="005D1362" w:rsidRDefault="00A06A66" w:rsidP="0051554F">
            <w:pPr>
              <w:jc w:val="both"/>
              <w:rPr>
                <w:sz w:val="16"/>
                <w:szCs w:val="16"/>
              </w:rPr>
            </w:pPr>
            <w:r w:rsidRPr="005D1362">
              <w:rPr>
                <w:sz w:val="16"/>
                <w:szCs w:val="16"/>
              </w:rPr>
              <w:t>197 400</w:t>
            </w:r>
          </w:p>
        </w:tc>
        <w:tc>
          <w:tcPr>
            <w:tcW w:w="1917" w:type="dxa"/>
          </w:tcPr>
          <w:p w14:paraId="0833B3B3" w14:textId="77777777" w:rsidR="00A06A66" w:rsidRPr="005D1362" w:rsidRDefault="00A06A66" w:rsidP="0051554F">
            <w:pPr>
              <w:jc w:val="both"/>
              <w:rPr>
                <w:sz w:val="16"/>
                <w:szCs w:val="16"/>
              </w:rPr>
            </w:pPr>
            <w:r w:rsidRPr="005D1362">
              <w:rPr>
                <w:sz w:val="16"/>
                <w:szCs w:val="16"/>
              </w:rPr>
              <w:t>394 800</w:t>
            </w:r>
          </w:p>
        </w:tc>
      </w:tr>
      <w:tr w:rsidR="00A06A66" w:rsidRPr="005D1362" w14:paraId="4CF1D6C1" w14:textId="77777777" w:rsidTr="0051554F">
        <w:tc>
          <w:tcPr>
            <w:tcW w:w="976" w:type="dxa"/>
          </w:tcPr>
          <w:p w14:paraId="003AF2BC" w14:textId="77777777" w:rsidR="00A06A66" w:rsidRPr="005D1362" w:rsidRDefault="00A06A66" w:rsidP="0051554F">
            <w:pPr>
              <w:jc w:val="both"/>
              <w:rPr>
                <w:sz w:val="16"/>
                <w:szCs w:val="16"/>
              </w:rPr>
            </w:pPr>
            <w:r w:rsidRPr="005D1362">
              <w:rPr>
                <w:sz w:val="16"/>
                <w:szCs w:val="16"/>
              </w:rPr>
              <w:t>2023</w:t>
            </w:r>
          </w:p>
        </w:tc>
        <w:tc>
          <w:tcPr>
            <w:tcW w:w="716" w:type="dxa"/>
          </w:tcPr>
          <w:p w14:paraId="707ED755" w14:textId="77777777" w:rsidR="00A06A66" w:rsidRPr="005D1362" w:rsidRDefault="00A06A66" w:rsidP="0051554F">
            <w:pPr>
              <w:jc w:val="both"/>
              <w:rPr>
                <w:sz w:val="16"/>
                <w:szCs w:val="16"/>
              </w:rPr>
            </w:pPr>
            <w:r w:rsidRPr="005D1362">
              <w:rPr>
                <w:sz w:val="16"/>
                <w:szCs w:val="16"/>
              </w:rPr>
              <w:t>12,1%</w:t>
            </w:r>
          </w:p>
        </w:tc>
        <w:tc>
          <w:tcPr>
            <w:tcW w:w="1418" w:type="dxa"/>
          </w:tcPr>
          <w:p w14:paraId="4D17CB32" w14:textId="77777777" w:rsidR="00A06A66" w:rsidRPr="005D1362" w:rsidRDefault="00A06A66" w:rsidP="0051554F">
            <w:pPr>
              <w:jc w:val="both"/>
              <w:rPr>
                <w:sz w:val="16"/>
                <w:szCs w:val="16"/>
              </w:rPr>
            </w:pPr>
            <w:r w:rsidRPr="005D1362">
              <w:rPr>
                <w:sz w:val="16"/>
                <w:szCs w:val="16"/>
              </w:rPr>
              <w:t>43 110</w:t>
            </w:r>
          </w:p>
        </w:tc>
        <w:tc>
          <w:tcPr>
            <w:tcW w:w="1158" w:type="dxa"/>
          </w:tcPr>
          <w:p w14:paraId="24DB1402" w14:textId="77777777" w:rsidR="00A06A66" w:rsidRPr="005D1362" w:rsidRDefault="00A06A66" w:rsidP="0051554F">
            <w:pPr>
              <w:jc w:val="both"/>
              <w:rPr>
                <w:sz w:val="16"/>
                <w:szCs w:val="16"/>
              </w:rPr>
            </w:pPr>
            <w:r w:rsidRPr="005D1362">
              <w:rPr>
                <w:sz w:val="16"/>
                <w:szCs w:val="16"/>
              </w:rPr>
              <w:t>86 220</w:t>
            </w:r>
          </w:p>
        </w:tc>
        <w:tc>
          <w:tcPr>
            <w:tcW w:w="1693" w:type="dxa"/>
          </w:tcPr>
          <w:p w14:paraId="039B5836" w14:textId="77777777" w:rsidR="00A06A66" w:rsidRPr="005D1362" w:rsidRDefault="00A06A66" w:rsidP="0051554F">
            <w:pPr>
              <w:jc w:val="both"/>
              <w:rPr>
                <w:sz w:val="16"/>
                <w:szCs w:val="16"/>
              </w:rPr>
            </w:pPr>
            <w:r w:rsidRPr="005D1362">
              <w:rPr>
                <w:sz w:val="16"/>
                <w:szCs w:val="16"/>
              </w:rPr>
              <w:t>86 220</w:t>
            </w:r>
          </w:p>
        </w:tc>
        <w:tc>
          <w:tcPr>
            <w:tcW w:w="1183" w:type="dxa"/>
          </w:tcPr>
          <w:p w14:paraId="7993CE07" w14:textId="77777777" w:rsidR="00A06A66" w:rsidRPr="005D1362" w:rsidRDefault="00A06A66" w:rsidP="0051554F">
            <w:pPr>
              <w:jc w:val="both"/>
              <w:rPr>
                <w:sz w:val="16"/>
                <w:szCs w:val="16"/>
              </w:rPr>
            </w:pPr>
            <w:r w:rsidRPr="005D1362">
              <w:rPr>
                <w:sz w:val="16"/>
                <w:szCs w:val="16"/>
              </w:rPr>
              <w:t>215 550</w:t>
            </w:r>
          </w:p>
        </w:tc>
        <w:tc>
          <w:tcPr>
            <w:tcW w:w="1917" w:type="dxa"/>
          </w:tcPr>
          <w:p w14:paraId="3653EE83" w14:textId="77777777" w:rsidR="00A06A66" w:rsidRPr="005D1362" w:rsidRDefault="00A06A66" w:rsidP="0051554F">
            <w:pPr>
              <w:jc w:val="both"/>
              <w:rPr>
                <w:sz w:val="16"/>
                <w:szCs w:val="16"/>
              </w:rPr>
            </w:pPr>
            <w:r w:rsidRPr="005D1362">
              <w:rPr>
                <w:sz w:val="16"/>
                <w:szCs w:val="16"/>
              </w:rPr>
              <w:t>431 100</w:t>
            </w:r>
          </w:p>
        </w:tc>
      </w:tr>
      <w:tr w:rsidR="00A06A66" w:rsidRPr="005D1362" w14:paraId="1E5D1D7C" w14:textId="77777777" w:rsidTr="0051554F">
        <w:tc>
          <w:tcPr>
            <w:tcW w:w="976" w:type="dxa"/>
          </w:tcPr>
          <w:p w14:paraId="74C888AB" w14:textId="77777777" w:rsidR="00A06A66" w:rsidRPr="005D1362" w:rsidRDefault="00A06A66" w:rsidP="0051554F">
            <w:pPr>
              <w:jc w:val="both"/>
              <w:rPr>
                <w:sz w:val="16"/>
                <w:szCs w:val="16"/>
              </w:rPr>
            </w:pPr>
            <w:r w:rsidRPr="005D1362">
              <w:rPr>
                <w:sz w:val="16"/>
                <w:szCs w:val="16"/>
              </w:rPr>
              <w:t>2024</w:t>
            </w:r>
          </w:p>
        </w:tc>
        <w:tc>
          <w:tcPr>
            <w:tcW w:w="716" w:type="dxa"/>
          </w:tcPr>
          <w:p w14:paraId="4C30112A" w14:textId="77777777" w:rsidR="00A06A66" w:rsidRPr="005D1362" w:rsidRDefault="00A06A66" w:rsidP="0051554F">
            <w:pPr>
              <w:jc w:val="both"/>
              <w:rPr>
                <w:sz w:val="16"/>
                <w:szCs w:val="16"/>
              </w:rPr>
            </w:pPr>
            <w:r w:rsidRPr="005D1362">
              <w:rPr>
                <w:sz w:val="16"/>
                <w:szCs w:val="16"/>
              </w:rPr>
              <w:t>5,0%</w:t>
            </w:r>
          </w:p>
        </w:tc>
        <w:tc>
          <w:tcPr>
            <w:tcW w:w="1418" w:type="dxa"/>
          </w:tcPr>
          <w:p w14:paraId="6B0F5AA3" w14:textId="77777777" w:rsidR="00A06A66" w:rsidRPr="005D1362" w:rsidRDefault="00A06A66" w:rsidP="0051554F">
            <w:pPr>
              <w:jc w:val="both"/>
              <w:rPr>
                <w:sz w:val="16"/>
                <w:szCs w:val="16"/>
              </w:rPr>
            </w:pPr>
            <w:r w:rsidRPr="005D1362">
              <w:rPr>
                <w:sz w:val="16"/>
                <w:szCs w:val="16"/>
              </w:rPr>
              <w:t>44 610</w:t>
            </w:r>
          </w:p>
        </w:tc>
        <w:tc>
          <w:tcPr>
            <w:tcW w:w="1158" w:type="dxa"/>
          </w:tcPr>
          <w:p w14:paraId="47150C03" w14:textId="77777777" w:rsidR="00A06A66" w:rsidRPr="005D1362" w:rsidRDefault="00A06A66" w:rsidP="0051554F">
            <w:pPr>
              <w:jc w:val="both"/>
              <w:rPr>
                <w:sz w:val="16"/>
                <w:szCs w:val="16"/>
              </w:rPr>
            </w:pPr>
            <w:r w:rsidRPr="005D1362">
              <w:rPr>
                <w:sz w:val="16"/>
                <w:szCs w:val="16"/>
              </w:rPr>
              <w:t>89 220</w:t>
            </w:r>
          </w:p>
        </w:tc>
        <w:tc>
          <w:tcPr>
            <w:tcW w:w="1693" w:type="dxa"/>
          </w:tcPr>
          <w:p w14:paraId="0D7A9F0B" w14:textId="77777777" w:rsidR="00A06A66" w:rsidRPr="005D1362" w:rsidRDefault="00A06A66" w:rsidP="0051554F">
            <w:pPr>
              <w:jc w:val="both"/>
              <w:rPr>
                <w:b/>
                <w:bCs/>
                <w:sz w:val="16"/>
                <w:szCs w:val="16"/>
              </w:rPr>
            </w:pPr>
            <w:r w:rsidRPr="005D1362">
              <w:rPr>
                <w:sz w:val="16"/>
                <w:szCs w:val="16"/>
              </w:rPr>
              <w:t>89 220</w:t>
            </w:r>
          </w:p>
        </w:tc>
        <w:tc>
          <w:tcPr>
            <w:tcW w:w="1183" w:type="dxa"/>
          </w:tcPr>
          <w:p w14:paraId="34341534" w14:textId="77777777" w:rsidR="00A06A66" w:rsidRPr="005D1362" w:rsidRDefault="00A06A66" w:rsidP="0051554F">
            <w:pPr>
              <w:jc w:val="both"/>
              <w:rPr>
                <w:sz w:val="16"/>
                <w:szCs w:val="16"/>
              </w:rPr>
            </w:pPr>
            <w:r w:rsidRPr="005D1362">
              <w:rPr>
                <w:sz w:val="16"/>
                <w:szCs w:val="16"/>
              </w:rPr>
              <w:t>223 050</w:t>
            </w:r>
          </w:p>
        </w:tc>
        <w:tc>
          <w:tcPr>
            <w:tcW w:w="1917" w:type="dxa"/>
          </w:tcPr>
          <w:p w14:paraId="4D1E4C2C" w14:textId="77777777" w:rsidR="00A06A66" w:rsidRPr="005D1362" w:rsidRDefault="00A06A66" w:rsidP="0051554F">
            <w:pPr>
              <w:jc w:val="both"/>
              <w:rPr>
                <w:sz w:val="16"/>
                <w:szCs w:val="16"/>
              </w:rPr>
            </w:pPr>
            <w:r w:rsidRPr="005D1362">
              <w:rPr>
                <w:sz w:val="16"/>
                <w:szCs w:val="16"/>
              </w:rPr>
              <w:t>446 100</w:t>
            </w:r>
          </w:p>
        </w:tc>
      </w:tr>
      <w:tr w:rsidR="00A06A66" w:rsidRPr="005D1362" w14:paraId="5A399FAE" w14:textId="77777777" w:rsidTr="0051554F">
        <w:tc>
          <w:tcPr>
            <w:tcW w:w="976" w:type="dxa"/>
          </w:tcPr>
          <w:p w14:paraId="7540EE4B" w14:textId="77777777" w:rsidR="00A06A66" w:rsidRPr="005D1362" w:rsidRDefault="00A06A66" w:rsidP="0051554F">
            <w:pPr>
              <w:jc w:val="both"/>
              <w:rPr>
                <w:b/>
                <w:bCs/>
                <w:i/>
                <w:iCs/>
                <w:sz w:val="16"/>
                <w:szCs w:val="16"/>
              </w:rPr>
            </w:pPr>
            <w:r w:rsidRPr="005D1362">
              <w:rPr>
                <w:b/>
                <w:bCs/>
                <w:i/>
                <w:iCs/>
                <w:sz w:val="16"/>
                <w:szCs w:val="16"/>
              </w:rPr>
              <w:t>2025</w:t>
            </w:r>
          </w:p>
        </w:tc>
        <w:tc>
          <w:tcPr>
            <w:tcW w:w="716" w:type="dxa"/>
          </w:tcPr>
          <w:p w14:paraId="5702A1B0" w14:textId="77777777" w:rsidR="00A06A66" w:rsidRPr="005D1362" w:rsidRDefault="00A06A66" w:rsidP="0051554F">
            <w:pPr>
              <w:jc w:val="both"/>
              <w:rPr>
                <w:b/>
                <w:bCs/>
                <w:i/>
                <w:iCs/>
                <w:sz w:val="16"/>
                <w:szCs w:val="16"/>
              </w:rPr>
            </w:pPr>
            <w:r w:rsidRPr="005D1362">
              <w:rPr>
                <w:b/>
                <w:bCs/>
                <w:i/>
                <w:iCs/>
                <w:sz w:val="16"/>
                <w:szCs w:val="16"/>
              </w:rPr>
              <w:t>7,55%</w:t>
            </w:r>
          </w:p>
        </w:tc>
        <w:tc>
          <w:tcPr>
            <w:tcW w:w="1418" w:type="dxa"/>
          </w:tcPr>
          <w:p w14:paraId="1B01D340" w14:textId="77777777" w:rsidR="00A06A66" w:rsidRPr="005D1362" w:rsidRDefault="00A06A66" w:rsidP="0051554F">
            <w:pPr>
              <w:jc w:val="both"/>
              <w:rPr>
                <w:b/>
                <w:bCs/>
                <w:i/>
                <w:iCs/>
                <w:sz w:val="16"/>
                <w:szCs w:val="16"/>
              </w:rPr>
            </w:pPr>
            <w:r w:rsidRPr="005D1362">
              <w:rPr>
                <w:b/>
                <w:bCs/>
                <w:i/>
                <w:iCs/>
                <w:sz w:val="16"/>
                <w:szCs w:val="16"/>
              </w:rPr>
              <w:t>46 875</w:t>
            </w:r>
          </w:p>
        </w:tc>
        <w:tc>
          <w:tcPr>
            <w:tcW w:w="1158" w:type="dxa"/>
          </w:tcPr>
          <w:p w14:paraId="301210D3" w14:textId="77777777" w:rsidR="00A06A66" w:rsidRPr="005D1362" w:rsidRDefault="00A06A66" w:rsidP="0051554F">
            <w:pPr>
              <w:jc w:val="both"/>
              <w:rPr>
                <w:b/>
                <w:bCs/>
                <w:i/>
                <w:iCs/>
                <w:sz w:val="16"/>
                <w:szCs w:val="16"/>
              </w:rPr>
            </w:pPr>
            <w:r w:rsidRPr="005D1362">
              <w:rPr>
                <w:b/>
                <w:bCs/>
                <w:i/>
                <w:iCs/>
                <w:sz w:val="16"/>
                <w:szCs w:val="16"/>
              </w:rPr>
              <w:t>93 750</w:t>
            </w:r>
          </w:p>
        </w:tc>
        <w:tc>
          <w:tcPr>
            <w:tcW w:w="1693" w:type="dxa"/>
          </w:tcPr>
          <w:p w14:paraId="401C2892" w14:textId="77777777" w:rsidR="00A06A66" w:rsidRPr="005D1362" w:rsidRDefault="00A06A66" w:rsidP="0051554F">
            <w:pPr>
              <w:jc w:val="both"/>
              <w:rPr>
                <w:b/>
                <w:bCs/>
                <w:i/>
                <w:iCs/>
                <w:sz w:val="16"/>
                <w:szCs w:val="16"/>
              </w:rPr>
            </w:pPr>
            <w:r w:rsidRPr="005D1362">
              <w:rPr>
                <w:b/>
                <w:bCs/>
                <w:i/>
                <w:iCs/>
                <w:sz w:val="16"/>
                <w:szCs w:val="16"/>
              </w:rPr>
              <w:t>93 750</w:t>
            </w:r>
          </w:p>
        </w:tc>
        <w:tc>
          <w:tcPr>
            <w:tcW w:w="1183" w:type="dxa"/>
          </w:tcPr>
          <w:p w14:paraId="134D528B" w14:textId="77777777" w:rsidR="00A06A66" w:rsidRPr="005D1362" w:rsidRDefault="00A06A66" w:rsidP="0051554F">
            <w:pPr>
              <w:jc w:val="both"/>
              <w:rPr>
                <w:b/>
                <w:bCs/>
                <w:i/>
                <w:iCs/>
                <w:sz w:val="16"/>
                <w:szCs w:val="16"/>
              </w:rPr>
            </w:pPr>
            <w:r w:rsidRPr="005D1362">
              <w:rPr>
                <w:b/>
                <w:bCs/>
                <w:i/>
                <w:iCs/>
                <w:sz w:val="16"/>
                <w:szCs w:val="16"/>
              </w:rPr>
              <w:t>234 375</w:t>
            </w:r>
          </w:p>
        </w:tc>
        <w:tc>
          <w:tcPr>
            <w:tcW w:w="1917" w:type="dxa"/>
          </w:tcPr>
          <w:p w14:paraId="18644862" w14:textId="77777777" w:rsidR="00A06A66" w:rsidRPr="005D1362" w:rsidRDefault="00A06A66" w:rsidP="0051554F">
            <w:pPr>
              <w:jc w:val="both"/>
              <w:rPr>
                <w:b/>
                <w:bCs/>
                <w:i/>
                <w:iCs/>
                <w:sz w:val="16"/>
                <w:szCs w:val="16"/>
              </w:rPr>
            </w:pPr>
            <w:r w:rsidRPr="005D1362">
              <w:rPr>
                <w:b/>
                <w:bCs/>
                <w:i/>
                <w:iCs/>
                <w:sz w:val="16"/>
                <w:szCs w:val="16"/>
              </w:rPr>
              <w:t>468 750</w:t>
            </w:r>
          </w:p>
        </w:tc>
      </w:tr>
      <w:tr w:rsidR="00A06A66" w:rsidRPr="005D1362" w14:paraId="2B52F668" w14:textId="77777777" w:rsidTr="0051554F">
        <w:tc>
          <w:tcPr>
            <w:tcW w:w="976" w:type="dxa"/>
          </w:tcPr>
          <w:p w14:paraId="6FAFCC5F" w14:textId="77777777" w:rsidR="00A06A66" w:rsidRPr="005D1362" w:rsidRDefault="00A06A66" w:rsidP="0051554F">
            <w:pPr>
              <w:jc w:val="both"/>
              <w:rPr>
                <w:b/>
                <w:bCs/>
                <w:i/>
                <w:iCs/>
                <w:sz w:val="16"/>
                <w:szCs w:val="16"/>
              </w:rPr>
            </w:pPr>
            <w:r w:rsidRPr="005D1362">
              <w:rPr>
                <w:b/>
                <w:bCs/>
                <w:i/>
                <w:iCs/>
                <w:sz w:val="16"/>
                <w:szCs w:val="16"/>
              </w:rPr>
              <w:t>2026</w:t>
            </w:r>
          </w:p>
        </w:tc>
        <w:tc>
          <w:tcPr>
            <w:tcW w:w="716" w:type="dxa"/>
          </w:tcPr>
          <w:p w14:paraId="46404382" w14:textId="77777777" w:rsidR="00A06A66" w:rsidRPr="005D1362" w:rsidRDefault="00A06A66" w:rsidP="0051554F">
            <w:pPr>
              <w:jc w:val="both"/>
              <w:rPr>
                <w:b/>
                <w:bCs/>
                <w:i/>
                <w:iCs/>
                <w:sz w:val="16"/>
                <w:szCs w:val="16"/>
              </w:rPr>
            </w:pPr>
            <w:r w:rsidRPr="005D1362">
              <w:rPr>
                <w:b/>
                <w:bCs/>
                <w:i/>
                <w:iCs/>
                <w:sz w:val="16"/>
                <w:szCs w:val="16"/>
              </w:rPr>
              <w:t>7,55%</w:t>
            </w:r>
          </w:p>
        </w:tc>
        <w:tc>
          <w:tcPr>
            <w:tcW w:w="1418" w:type="dxa"/>
          </w:tcPr>
          <w:p w14:paraId="2A6ABAC1" w14:textId="77777777" w:rsidR="00A06A66" w:rsidRPr="005D1362" w:rsidRDefault="00A06A66" w:rsidP="0051554F">
            <w:pPr>
              <w:jc w:val="both"/>
              <w:rPr>
                <w:b/>
                <w:bCs/>
                <w:i/>
                <w:iCs/>
                <w:sz w:val="16"/>
                <w:szCs w:val="16"/>
              </w:rPr>
            </w:pPr>
            <w:r w:rsidRPr="005D1362">
              <w:rPr>
                <w:b/>
                <w:bCs/>
                <w:i/>
                <w:iCs/>
                <w:sz w:val="16"/>
                <w:szCs w:val="16"/>
              </w:rPr>
              <w:t>49 140</w:t>
            </w:r>
          </w:p>
        </w:tc>
        <w:tc>
          <w:tcPr>
            <w:tcW w:w="1158" w:type="dxa"/>
          </w:tcPr>
          <w:p w14:paraId="5B8B4080" w14:textId="77777777" w:rsidR="00A06A66" w:rsidRPr="005D1362" w:rsidRDefault="00A06A66" w:rsidP="0051554F">
            <w:pPr>
              <w:jc w:val="both"/>
              <w:rPr>
                <w:b/>
                <w:bCs/>
                <w:i/>
                <w:iCs/>
                <w:sz w:val="16"/>
                <w:szCs w:val="16"/>
              </w:rPr>
            </w:pPr>
            <w:r w:rsidRPr="005D1362">
              <w:rPr>
                <w:b/>
                <w:bCs/>
                <w:i/>
                <w:iCs/>
                <w:sz w:val="16"/>
                <w:szCs w:val="16"/>
              </w:rPr>
              <w:t>98 280</w:t>
            </w:r>
          </w:p>
        </w:tc>
        <w:tc>
          <w:tcPr>
            <w:tcW w:w="1693" w:type="dxa"/>
          </w:tcPr>
          <w:p w14:paraId="083645CC" w14:textId="77777777" w:rsidR="00A06A66" w:rsidRPr="005D1362" w:rsidRDefault="00A06A66" w:rsidP="0051554F">
            <w:pPr>
              <w:jc w:val="both"/>
              <w:rPr>
                <w:b/>
                <w:bCs/>
                <w:i/>
                <w:iCs/>
                <w:sz w:val="16"/>
                <w:szCs w:val="16"/>
              </w:rPr>
            </w:pPr>
            <w:r w:rsidRPr="005D1362">
              <w:rPr>
                <w:b/>
                <w:bCs/>
                <w:i/>
                <w:iCs/>
                <w:sz w:val="16"/>
                <w:szCs w:val="16"/>
              </w:rPr>
              <w:t>98 280</w:t>
            </w:r>
          </w:p>
        </w:tc>
        <w:tc>
          <w:tcPr>
            <w:tcW w:w="1183" w:type="dxa"/>
          </w:tcPr>
          <w:p w14:paraId="252047AD" w14:textId="77777777" w:rsidR="00A06A66" w:rsidRPr="005D1362" w:rsidRDefault="00A06A66" w:rsidP="0051554F">
            <w:pPr>
              <w:jc w:val="both"/>
              <w:rPr>
                <w:b/>
                <w:bCs/>
                <w:i/>
                <w:iCs/>
                <w:sz w:val="16"/>
                <w:szCs w:val="16"/>
              </w:rPr>
            </w:pPr>
            <w:r w:rsidRPr="005D1362">
              <w:rPr>
                <w:b/>
                <w:bCs/>
                <w:i/>
                <w:iCs/>
                <w:sz w:val="16"/>
                <w:szCs w:val="16"/>
              </w:rPr>
              <w:t>245 700</w:t>
            </w:r>
          </w:p>
        </w:tc>
        <w:tc>
          <w:tcPr>
            <w:tcW w:w="1917" w:type="dxa"/>
          </w:tcPr>
          <w:p w14:paraId="626A83E6" w14:textId="77777777" w:rsidR="00A06A66" w:rsidRPr="005D1362" w:rsidRDefault="00A06A66" w:rsidP="0051554F">
            <w:pPr>
              <w:jc w:val="both"/>
              <w:rPr>
                <w:b/>
                <w:bCs/>
                <w:i/>
                <w:iCs/>
                <w:sz w:val="16"/>
                <w:szCs w:val="16"/>
              </w:rPr>
            </w:pPr>
            <w:r w:rsidRPr="005D1362">
              <w:rPr>
                <w:b/>
                <w:bCs/>
                <w:i/>
                <w:iCs/>
                <w:sz w:val="16"/>
                <w:szCs w:val="16"/>
              </w:rPr>
              <w:t>491 400</w:t>
            </w:r>
          </w:p>
        </w:tc>
      </w:tr>
    </w:tbl>
    <w:p w14:paraId="28C3C42E" w14:textId="77777777" w:rsidR="00A06A66" w:rsidRDefault="00A06A66" w:rsidP="00A06A66">
      <w:pPr>
        <w:jc w:val="both"/>
        <w:rPr>
          <w:rFonts w:ascii="Times New Roman" w:hAnsi="Times New Roman"/>
        </w:rPr>
      </w:pPr>
    </w:p>
    <w:p w14:paraId="2458437E" w14:textId="77777777" w:rsidR="00A06A66" w:rsidRPr="00C72275" w:rsidRDefault="00A06A66" w:rsidP="000F432D">
      <w:pPr>
        <w:spacing w:before="240" w:after="0"/>
        <w:jc w:val="both"/>
        <w:rPr>
          <w:rFonts w:ascii="Times New Roman" w:hAnsi="Times New Roman"/>
          <w:b/>
        </w:rPr>
      </w:pPr>
      <w:r>
        <w:rPr>
          <w:rFonts w:ascii="Times New Roman" w:hAnsi="Times New Roman"/>
          <w:b/>
        </w:rPr>
        <w:t>1.</w:t>
      </w:r>
      <w:r w:rsidRPr="00C72275">
        <w:rPr>
          <w:rFonts w:ascii="Times New Roman" w:hAnsi="Times New Roman"/>
          <w:b/>
        </w:rPr>
        <w:t xml:space="preserve">2. Vabatahtlike </w:t>
      </w:r>
      <w:r>
        <w:rPr>
          <w:rFonts w:ascii="Times New Roman" w:hAnsi="Times New Roman"/>
          <w:b/>
        </w:rPr>
        <w:t xml:space="preserve">kõrvaldamisaluste </w:t>
      </w:r>
      <w:r w:rsidRPr="00C72275">
        <w:rPr>
          <w:rFonts w:ascii="Times New Roman" w:hAnsi="Times New Roman"/>
          <w:b/>
        </w:rPr>
        <w:t>kontrollimise vabatahtlikuks muutmine (RHS § 95 lg 4)</w:t>
      </w:r>
    </w:p>
    <w:p w14:paraId="582305E2" w14:textId="79F81811" w:rsidR="00A06A66" w:rsidRDefault="00A06A66" w:rsidP="000F432D">
      <w:pPr>
        <w:jc w:val="both"/>
        <w:rPr>
          <w:rFonts w:ascii="Times New Roman" w:hAnsi="Times New Roman"/>
        </w:rPr>
      </w:pPr>
      <w:r w:rsidRPr="4D519000">
        <w:rPr>
          <w:rFonts w:ascii="Times New Roman" w:hAnsi="Times New Roman"/>
        </w:rPr>
        <w:t xml:space="preserve">Kõrvaldamisalused on </w:t>
      </w:r>
      <w:r w:rsidR="008F24D7" w:rsidRPr="4D519000">
        <w:rPr>
          <w:rFonts w:ascii="Times New Roman" w:hAnsi="Times New Roman"/>
        </w:rPr>
        <w:t>ebausaldusväärsete ettevõtjate</w:t>
      </w:r>
      <w:r w:rsidR="008A0DD5" w:rsidRPr="4D519000">
        <w:rPr>
          <w:rFonts w:ascii="Times New Roman" w:hAnsi="Times New Roman"/>
        </w:rPr>
        <w:t xml:space="preserve"> </w:t>
      </w:r>
      <w:r w:rsidR="00D729A6" w:rsidRPr="4D519000">
        <w:rPr>
          <w:rFonts w:ascii="Times New Roman" w:hAnsi="Times New Roman"/>
        </w:rPr>
        <w:t>riigihangetest välja jätmise</w:t>
      </w:r>
      <w:r w:rsidR="00844062" w:rsidRPr="4D519000">
        <w:rPr>
          <w:rFonts w:ascii="Times New Roman" w:hAnsi="Times New Roman"/>
        </w:rPr>
        <w:t>ks</w:t>
      </w:r>
      <w:r w:rsidRPr="4D519000">
        <w:rPr>
          <w:rFonts w:ascii="Times New Roman" w:hAnsi="Times New Roman"/>
        </w:rPr>
        <w:t>. Need on näiteks korruptsiooni, terrorismi, inimkaubanduse, keskkonnakaitse, maksu- vm valdkondades toimunud üleastumis</w:t>
      </w:r>
      <w:r w:rsidR="00FA17A4" w:rsidRPr="4D519000">
        <w:rPr>
          <w:rFonts w:ascii="Times New Roman" w:hAnsi="Times New Roman"/>
        </w:rPr>
        <w:t>t</w:t>
      </w:r>
      <w:r w:rsidRPr="4D519000">
        <w:rPr>
          <w:rFonts w:ascii="Times New Roman" w:hAnsi="Times New Roman"/>
        </w:rPr>
        <w:t>e</w:t>
      </w:r>
      <w:r w:rsidR="00FA17A4" w:rsidRPr="4D519000">
        <w:rPr>
          <w:rFonts w:ascii="Times New Roman" w:hAnsi="Times New Roman"/>
        </w:rPr>
        <w:t>ga seotud</w:t>
      </w:r>
      <w:r w:rsidRPr="4D519000">
        <w:rPr>
          <w:rFonts w:ascii="Times New Roman" w:hAnsi="Times New Roman"/>
        </w:rPr>
        <w:t xml:space="preserve">. </w:t>
      </w:r>
    </w:p>
    <w:p w14:paraId="34B40984" w14:textId="6108B14F" w:rsidR="00A06A66" w:rsidRDefault="00A06A66" w:rsidP="000F432D">
      <w:pPr>
        <w:jc w:val="both"/>
        <w:rPr>
          <w:rFonts w:ascii="Times New Roman" w:hAnsi="Times New Roman"/>
        </w:rPr>
      </w:pPr>
      <w:r w:rsidRPr="26EA1255">
        <w:rPr>
          <w:rFonts w:ascii="Times New Roman" w:hAnsi="Times New Roman"/>
        </w:rPr>
        <w:t>Kõrvaldamisalused jagunevad kaheks: kohustuslikeks (</w:t>
      </w:r>
      <w:r w:rsidR="00771098" w:rsidRPr="26EA1255">
        <w:rPr>
          <w:rFonts w:ascii="Times New Roman" w:hAnsi="Times New Roman"/>
        </w:rPr>
        <w:t xml:space="preserve">hankija </w:t>
      </w:r>
      <w:r w:rsidRPr="26EA1255">
        <w:rPr>
          <w:rFonts w:ascii="Times New Roman" w:hAnsi="Times New Roman"/>
        </w:rPr>
        <w:t>peab kõrvaldama</w:t>
      </w:r>
      <w:r w:rsidR="005D50BA" w:rsidRPr="26EA1255">
        <w:rPr>
          <w:rFonts w:ascii="Times New Roman" w:hAnsi="Times New Roman"/>
        </w:rPr>
        <w:t>, RHS § 95 lg 1</w:t>
      </w:r>
      <w:r w:rsidRPr="26EA1255">
        <w:rPr>
          <w:rFonts w:ascii="Times New Roman" w:hAnsi="Times New Roman"/>
        </w:rPr>
        <w:t>) ja vabatahtlikeks (hankija kaalutlusotsus</w:t>
      </w:r>
      <w:r w:rsidR="00B5406F" w:rsidRPr="26EA1255">
        <w:rPr>
          <w:rFonts w:ascii="Times New Roman" w:hAnsi="Times New Roman"/>
        </w:rPr>
        <w:t>, RHS § 9</w:t>
      </w:r>
      <w:r w:rsidR="003A0C8C" w:rsidRPr="26EA1255">
        <w:rPr>
          <w:rFonts w:ascii="Times New Roman" w:hAnsi="Times New Roman"/>
        </w:rPr>
        <w:t>5 lg 4</w:t>
      </w:r>
      <w:r w:rsidRPr="26EA1255">
        <w:rPr>
          <w:rFonts w:ascii="Times New Roman" w:hAnsi="Times New Roman"/>
        </w:rPr>
        <w:t xml:space="preserve">). </w:t>
      </w:r>
    </w:p>
    <w:p w14:paraId="79DDD781" w14:textId="77777777" w:rsidR="00A06A66" w:rsidRPr="00631E96" w:rsidRDefault="00A06A66" w:rsidP="000F432D">
      <w:pPr>
        <w:jc w:val="both"/>
        <w:rPr>
          <w:rFonts w:ascii="Times New Roman" w:hAnsi="Times New Roman"/>
        </w:rPr>
      </w:pPr>
      <w:r w:rsidRPr="00D41D10">
        <w:rPr>
          <w:rFonts w:ascii="Times New Roman" w:hAnsi="Times New Roman"/>
        </w:rPr>
        <w:t>See kaalutlusõigus ei hõlma aga hankija õigust otsustada, kas üldse ja milliseid vabatahtlikke kõrvaldamise aluseid kontrollida</w:t>
      </w:r>
      <w:r>
        <w:rPr>
          <w:rFonts w:ascii="Times New Roman" w:hAnsi="Times New Roman"/>
        </w:rPr>
        <w:t>.</w:t>
      </w:r>
      <w:r w:rsidRPr="00D41D10">
        <w:rPr>
          <w:rFonts w:ascii="Times New Roman" w:hAnsi="Times New Roman"/>
        </w:rPr>
        <w:t xml:space="preserve"> </w:t>
      </w:r>
      <w:r w:rsidRPr="00631E96">
        <w:rPr>
          <w:rFonts w:ascii="Times New Roman" w:hAnsi="Times New Roman"/>
        </w:rPr>
        <w:t xml:space="preserve">Hankijal on </w:t>
      </w:r>
      <w:r>
        <w:rPr>
          <w:rFonts w:ascii="Times New Roman" w:hAnsi="Times New Roman"/>
        </w:rPr>
        <w:t xml:space="preserve">praegu </w:t>
      </w:r>
      <w:r w:rsidRPr="00631E96">
        <w:rPr>
          <w:rFonts w:ascii="Times New Roman" w:hAnsi="Times New Roman"/>
        </w:rPr>
        <w:t>kohustus kaaluda iga vabatahtliku kõrvaldamise aluse puhul, kas see esineb ja kas see õigustab pakkuja kõrvaldamist.</w:t>
      </w:r>
    </w:p>
    <w:p w14:paraId="589EE4D7" w14:textId="459F47B5" w:rsidR="000F432D" w:rsidRPr="005D1362" w:rsidRDefault="00A06A66" w:rsidP="000F432D">
      <w:pPr>
        <w:jc w:val="both"/>
        <w:rPr>
          <w:rFonts w:ascii="Times New Roman" w:hAnsi="Times New Roman" w:cs="Times New Roman"/>
        </w:rPr>
      </w:pPr>
      <w:r w:rsidRPr="005D1362">
        <w:rPr>
          <w:rFonts w:ascii="Times New Roman" w:hAnsi="Times New Roman" w:cs="Times New Roman"/>
          <w:b/>
          <w:bCs/>
        </w:rPr>
        <w:t>Ettepaneku sisuks</w:t>
      </w:r>
      <w:r w:rsidRPr="005D1362">
        <w:rPr>
          <w:rFonts w:ascii="Times New Roman" w:hAnsi="Times New Roman" w:cs="Times New Roman"/>
        </w:rPr>
        <w:t xml:space="preserve"> on võimaldada hankijal otsustada, kas üldse ja milliseid vabatahtlikke kõrvaldamise aluseid ta kontrollib. Hankija saab ise otsustada missuguste hangete puhul millised vabatahtlikud kõrvaldamise alused tema jaoks olulised on. Muudatuse tulemusel ei pea hankija enam kontrollima igas hankes kõiki vabatahtlikke kõrvaldamisaluseid, vaid ainult neid, mille ta riigihankes ette nägi.</w:t>
      </w:r>
    </w:p>
    <w:tbl>
      <w:tblPr>
        <w:tblStyle w:val="Kontuurtabel"/>
        <w:tblW w:w="0" w:type="auto"/>
        <w:tblLook w:val="04A0" w:firstRow="1" w:lastRow="0" w:firstColumn="1" w:lastColumn="0" w:noHBand="0" w:noVBand="1"/>
      </w:tblPr>
      <w:tblGrid>
        <w:gridCol w:w="1980"/>
        <w:gridCol w:w="7081"/>
      </w:tblGrid>
      <w:tr w:rsidR="00A06A66" w:rsidRPr="005D1362" w14:paraId="7C2B7A8E" w14:textId="77777777" w:rsidTr="05D57797">
        <w:tc>
          <w:tcPr>
            <w:tcW w:w="1980" w:type="dxa"/>
            <w:vMerge w:val="restart"/>
          </w:tcPr>
          <w:p w14:paraId="419A9BEF" w14:textId="77777777" w:rsidR="00A06A66" w:rsidRPr="005D1362" w:rsidRDefault="00A06A66" w:rsidP="0051554F">
            <w:pPr>
              <w:jc w:val="both"/>
              <w:rPr>
                <w:sz w:val="24"/>
                <w:szCs w:val="24"/>
              </w:rPr>
            </w:pPr>
          </w:p>
          <w:p w14:paraId="635D026E" w14:textId="77777777" w:rsidR="00A06A66" w:rsidRPr="005D1362" w:rsidRDefault="00A06A66" w:rsidP="0051554F">
            <w:pPr>
              <w:jc w:val="both"/>
              <w:rPr>
                <w:b/>
                <w:bCs/>
                <w:sz w:val="24"/>
                <w:szCs w:val="24"/>
              </w:rPr>
            </w:pPr>
            <w:r w:rsidRPr="005D1362">
              <w:rPr>
                <w:b/>
                <w:bCs/>
                <w:sz w:val="24"/>
                <w:szCs w:val="24"/>
              </w:rPr>
              <w:t>Positiivne mõju</w:t>
            </w:r>
          </w:p>
        </w:tc>
        <w:tc>
          <w:tcPr>
            <w:tcW w:w="7081" w:type="dxa"/>
          </w:tcPr>
          <w:p w14:paraId="0233114D" w14:textId="77777777" w:rsidR="00A06A66" w:rsidRPr="005D1362" w:rsidRDefault="00A06A66" w:rsidP="0051554F">
            <w:pPr>
              <w:jc w:val="both"/>
              <w:rPr>
                <w:sz w:val="24"/>
                <w:szCs w:val="24"/>
              </w:rPr>
            </w:pPr>
            <w:r w:rsidRPr="005D1362">
              <w:rPr>
                <w:sz w:val="24"/>
                <w:szCs w:val="24"/>
              </w:rPr>
              <w:t xml:space="preserve">Vähendab oluliselt hankijate halduskoormust, kuna ei pea kontrollima kõiki vabatahtlikke kõrvaldamise aluseid. </w:t>
            </w:r>
          </w:p>
        </w:tc>
      </w:tr>
      <w:tr w:rsidR="00A06A66" w:rsidRPr="005D1362" w14:paraId="1782FBBE" w14:textId="77777777" w:rsidTr="05D57797">
        <w:tc>
          <w:tcPr>
            <w:tcW w:w="1980" w:type="dxa"/>
            <w:vMerge/>
          </w:tcPr>
          <w:p w14:paraId="2B0993A6" w14:textId="77777777" w:rsidR="00A06A66" w:rsidRPr="005D1362" w:rsidRDefault="00A06A66" w:rsidP="0051554F">
            <w:pPr>
              <w:jc w:val="both"/>
              <w:rPr>
                <w:sz w:val="24"/>
                <w:szCs w:val="24"/>
              </w:rPr>
            </w:pPr>
          </w:p>
        </w:tc>
        <w:tc>
          <w:tcPr>
            <w:tcW w:w="7081" w:type="dxa"/>
          </w:tcPr>
          <w:p w14:paraId="29720DAA" w14:textId="77777777" w:rsidR="00A06A66" w:rsidRPr="005D1362" w:rsidRDefault="00A06A66" w:rsidP="0051554F">
            <w:pPr>
              <w:jc w:val="both"/>
              <w:rPr>
                <w:sz w:val="24"/>
                <w:szCs w:val="24"/>
              </w:rPr>
            </w:pPr>
            <w:r w:rsidRPr="005D1362">
              <w:rPr>
                <w:sz w:val="24"/>
                <w:szCs w:val="24"/>
              </w:rPr>
              <w:t>Hankija ei pea põhjendama oma otsust pakkuja jätkamise või kõrvaldamise kohta, kui vastavat kõrvaldamise alust pole ette näinud.</w:t>
            </w:r>
          </w:p>
        </w:tc>
      </w:tr>
      <w:tr w:rsidR="00A06A66" w:rsidRPr="005D1362" w14:paraId="559C84F7" w14:textId="77777777" w:rsidTr="05D57797">
        <w:tc>
          <w:tcPr>
            <w:tcW w:w="1980" w:type="dxa"/>
            <w:vMerge/>
          </w:tcPr>
          <w:p w14:paraId="1700585B" w14:textId="77777777" w:rsidR="00A06A66" w:rsidRPr="005D1362" w:rsidRDefault="00A06A66" w:rsidP="0051554F">
            <w:pPr>
              <w:jc w:val="both"/>
              <w:rPr>
                <w:sz w:val="24"/>
                <w:szCs w:val="24"/>
              </w:rPr>
            </w:pPr>
          </w:p>
        </w:tc>
        <w:tc>
          <w:tcPr>
            <w:tcW w:w="7081" w:type="dxa"/>
          </w:tcPr>
          <w:p w14:paraId="034A549C" w14:textId="77777777" w:rsidR="00A06A66" w:rsidRPr="005D1362" w:rsidRDefault="00A06A66" w:rsidP="0051554F">
            <w:pPr>
              <w:jc w:val="both"/>
              <w:rPr>
                <w:sz w:val="24"/>
                <w:szCs w:val="24"/>
              </w:rPr>
            </w:pPr>
            <w:r w:rsidRPr="005D1362">
              <w:rPr>
                <w:sz w:val="24"/>
                <w:szCs w:val="24"/>
              </w:rPr>
              <w:t>Suurendab hankemenetluse paindlikkust, kuna hankija saab ise otsustada, millised vabatahtlikud kõrvaldamise alused missuguste hangete puhul on tema jaoks olulised.</w:t>
            </w:r>
          </w:p>
        </w:tc>
      </w:tr>
      <w:tr w:rsidR="00A06A66" w:rsidRPr="005D1362" w14:paraId="3F8E28BB" w14:textId="77777777" w:rsidTr="05D57797">
        <w:tc>
          <w:tcPr>
            <w:tcW w:w="1980" w:type="dxa"/>
            <w:vMerge/>
          </w:tcPr>
          <w:p w14:paraId="70A5DC95" w14:textId="77777777" w:rsidR="00A06A66" w:rsidRPr="005D1362" w:rsidRDefault="00A06A66" w:rsidP="0051554F">
            <w:pPr>
              <w:jc w:val="both"/>
              <w:rPr>
                <w:sz w:val="24"/>
                <w:szCs w:val="24"/>
              </w:rPr>
            </w:pPr>
          </w:p>
        </w:tc>
        <w:tc>
          <w:tcPr>
            <w:tcW w:w="7081" w:type="dxa"/>
          </w:tcPr>
          <w:p w14:paraId="260C43B4" w14:textId="53EEA2CE" w:rsidR="00A06A66" w:rsidRPr="005D1362" w:rsidRDefault="00A06A66" w:rsidP="0051554F">
            <w:pPr>
              <w:jc w:val="both"/>
              <w:rPr>
                <w:sz w:val="24"/>
                <w:szCs w:val="24"/>
              </w:rPr>
            </w:pPr>
            <w:r w:rsidRPr="05D57797">
              <w:rPr>
                <w:sz w:val="24"/>
                <w:szCs w:val="24"/>
              </w:rPr>
              <w:t>Vähendab pakkujate halduskoormust, kes ei pea esitama tõendeid ja selgitusi</w:t>
            </w:r>
            <w:r w:rsidR="00761EB0" w:rsidRPr="05D57797">
              <w:rPr>
                <w:sz w:val="24"/>
                <w:szCs w:val="24"/>
              </w:rPr>
              <w:t>, heastamismeetmeid</w:t>
            </w:r>
            <w:r w:rsidRPr="05D57797">
              <w:rPr>
                <w:sz w:val="24"/>
                <w:szCs w:val="24"/>
              </w:rPr>
              <w:t>.</w:t>
            </w:r>
          </w:p>
        </w:tc>
      </w:tr>
      <w:tr w:rsidR="00A06A66" w:rsidRPr="005D1362" w14:paraId="759CE2B2" w14:textId="77777777" w:rsidTr="05D57797">
        <w:tc>
          <w:tcPr>
            <w:tcW w:w="1980" w:type="dxa"/>
            <w:vMerge/>
          </w:tcPr>
          <w:p w14:paraId="4BBD6DB1" w14:textId="77777777" w:rsidR="00A06A66" w:rsidRPr="005D1362" w:rsidRDefault="00A06A66" w:rsidP="0051554F">
            <w:pPr>
              <w:jc w:val="both"/>
              <w:rPr>
                <w:sz w:val="24"/>
                <w:szCs w:val="24"/>
              </w:rPr>
            </w:pPr>
          </w:p>
        </w:tc>
        <w:tc>
          <w:tcPr>
            <w:tcW w:w="7081" w:type="dxa"/>
          </w:tcPr>
          <w:p w14:paraId="3D25FE63" w14:textId="117B81B2" w:rsidR="00A06A66" w:rsidRPr="005D1362" w:rsidRDefault="00A06A66" w:rsidP="0051554F">
            <w:pPr>
              <w:jc w:val="both"/>
              <w:rPr>
                <w:sz w:val="24"/>
                <w:szCs w:val="24"/>
              </w:rPr>
            </w:pPr>
            <w:r w:rsidRPr="05D57797">
              <w:rPr>
                <w:sz w:val="24"/>
                <w:szCs w:val="24"/>
              </w:rPr>
              <w:t>Lühendab hankemenetlus</w:t>
            </w:r>
            <w:r w:rsidR="00131559" w:rsidRPr="05D57797">
              <w:rPr>
                <w:sz w:val="24"/>
                <w:szCs w:val="24"/>
              </w:rPr>
              <w:t>t</w:t>
            </w:r>
            <w:r w:rsidRPr="05D57797">
              <w:rPr>
                <w:sz w:val="24"/>
                <w:szCs w:val="24"/>
              </w:rPr>
              <w:t>, sest väheneb tõendite ja selgituste küsimise ning vastuste andmise vajadus.</w:t>
            </w:r>
          </w:p>
        </w:tc>
      </w:tr>
    </w:tbl>
    <w:p w14:paraId="22192793" w14:textId="77777777" w:rsidR="00A06A66" w:rsidRPr="00631E96" w:rsidRDefault="00A06A66" w:rsidP="00A06A66">
      <w:pPr>
        <w:jc w:val="both"/>
        <w:rPr>
          <w:rFonts w:ascii="Times New Roman" w:hAnsi="Times New Roman"/>
        </w:rPr>
      </w:pPr>
    </w:p>
    <w:tbl>
      <w:tblPr>
        <w:tblStyle w:val="Kontuurtabel"/>
        <w:tblW w:w="0" w:type="auto"/>
        <w:tblLook w:val="04A0" w:firstRow="1" w:lastRow="0" w:firstColumn="1" w:lastColumn="0" w:noHBand="0" w:noVBand="1"/>
      </w:tblPr>
      <w:tblGrid>
        <w:gridCol w:w="1980"/>
        <w:gridCol w:w="7081"/>
      </w:tblGrid>
      <w:tr w:rsidR="00A06A66" w:rsidRPr="005D1362" w14:paraId="78D9D958" w14:textId="77777777" w:rsidTr="0051554F">
        <w:tc>
          <w:tcPr>
            <w:tcW w:w="1980" w:type="dxa"/>
            <w:vMerge w:val="restart"/>
          </w:tcPr>
          <w:p w14:paraId="3A0FF4CA" w14:textId="77777777" w:rsidR="00A06A66" w:rsidRPr="005D1362" w:rsidRDefault="00A06A66" w:rsidP="0051554F">
            <w:pPr>
              <w:jc w:val="both"/>
              <w:rPr>
                <w:sz w:val="24"/>
                <w:szCs w:val="24"/>
              </w:rPr>
            </w:pPr>
          </w:p>
          <w:p w14:paraId="112EC0AD" w14:textId="77777777" w:rsidR="00A06A66" w:rsidRPr="005D1362" w:rsidRDefault="00A06A66" w:rsidP="0051554F">
            <w:pPr>
              <w:jc w:val="both"/>
              <w:rPr>
                <w:b/>
                <w:bCs/>
                <w:sz w:val="24"/>
                <w:szCs w:val="24"/>
              </w:rPr>
            </w:pPr>
            <w:r w:rsidRPr="005D1362">
              <w:rPr>
                <w:b/>
                <w:bCs/>
                <w:sz w:val="24"/>
                <w:szCs w:val="24"/>
              </w:rPr>
              <w:t>Riskid</w:t>
            </w:r>
          </w:p>
        </w:tc>
        <w:tc>
          <w:tcPr>
            <w:tcW w:w="7081" w:type="dxa"/>
          </w:tcPr>
          <w:p w14:paraId="49A277C7" w14:textId="77777777" w:rsidR="00A06A66" w:rsidRPr="005D1362" w:rsidRDefault="00A06A66" w:rsidP="0051554F">
            <w:pPr>
              <w:tabs>
                <w:tab w:val="left" w:pos="6630"/>
              </w:tabs>
              <w:jc w:val="both"/>
              <w:rPr>
                <w:sz w:val="24"/>
                <w:szCs w:val="24"/>
              </w:rPr>
            </w:pPr>
            <w:r w:rsidRPr="005D1362">
              <w:rPr>
                <w:sz w:val="24"/>
                <w:szCs w:val="24"/>
              </w:rPr>
              <w:t xml:space="preserve">Hankijad ei rakenda ühtegi vabatahtlikku kõrvaldamise alust, mis võib anda konkurentsieelise ebaausatele ettevõtjatele. </w:t>
            </w:r>
          </w:p>
        </w:tc>
      </w:tr>
      <w:tr w:rsidR="00A06A66" w:rsidRPr="005D1362" w14:paraId="293369B3" w14:textId="77777777" w:rsidTr="0051554F">
        <w:tc>
          <w:tcPr>
            <w:tcW w:w="1980" w:type="dxa"/>
            <w:vMerge/>
          </w:tcPr>
          <w:p w14:paraId="5873ECD1" w14:textId="77777777" w:rsidR="00A06A66" w:rsidRPr="005D1362" w:rsidRDefault="00A06A66" w:rsidP="0051554F">
            <w:pPr>
              <w:jc w:val="both"/>
              <w:rPr>
                <w:sz w:val="24"/>
                <w:szCs w:val="24"/>
              </w:rPr>
            </w:pPr>
          </w:p>
        </w:tc>
        <w:tc>
          <w:tcPr>
            <w:tcW w:w="7081" w:type="dxa"/>
          </w:tcPr>
          <w:p w14:paraId="725104D6" w14:textId="77777777" w:rsidR="00A06A66" w:rsidRPr="005D1362" w:rsidRDefault="00A06A66" w:rsidP="0051554F">
            <w:pPr>
              <w:jc w:val="both"/>
              <w:rPr>
                <w:sz w:val="24"/>
                <w:szCs w:val="24"/>
              </w:rPr>
            </w:pPr>
            <w:r w:rsidRPr="005D1362">
              <w:rPr>
                <w:sz w:val="24"/>
                <w:szCs w:val="24"/>
              </w:rPr>
              <w:t xml:space="preserve">Avalikke vahendeid suunatakse ettevõtjatele, kes ei vääri neid, näiteks keskkonna-, sotsiaal- või tööõiguse-alaste rikkumiste tõttu.  </w:t>
            </w:r>
          </w:p>
        </w:tc>
      </w:tr>
    </w:tbl>
    <w:p w14:paraId="346AB77E" w14:textId="77777777" w:rsidR="00A06A66" w:rsidRPr="00631E96" w:rsidRDefault="00A06A66" w:rsidP="00A06A66">
      <w:pPr>
        <w:jc w:val="both"/>
        <w:rPr>
          <w:rFonts w:ascii="Times New Roman" w:hAnsi="Times New Roman"/>
        </w:rPr>
      </w:pPr>
    </w:p>
    <w:p w14:paraId="2474A0AB" w14:textId="743A0323" w:rsidR="00A06A66" w:rsidRDefault="00A06A66" w:rsidP="25B08C2E">
      <w:pPr>
        <w:jc w:val="both"/>
        <w:rPr>
          <w:rFonts w:ascii="Times New Roman" w:hAnsi="Times New Roman"/>
          <w:i/>
          <w:iCs/>
        </w:rPr>
      </w:pPr>
      <w:r w:rsidRPr="25B08C2E">
        <w:rPr>
          <w:rFonts w:ascii="Times New Roman" w:hAnsi="Times New Roman"/>
        </w:rPr>
        <w:t>Meile teadaolevalt esineb</w:t>
      </w:r>
      <w:r w:rsidR="006A1504" w:rsidRPr="25B08C2E">
        <w:rPr>
          <w:rFonts w:ascii="Times New Roman" w:hAnsi="Times New Roman"/>
        </w:rPr>
        <w:t xml:space="preserve"> EL</w:t>
      </w:r>
      <w:r w:rsidRPr="25B08C2E">
        <w:rPr>
          <w:rFonts w:ascii="Times New Roman" w:hAnsi="Times New Roman"/>
        </w:rPr>
        <w:t xml:space="preserve"> liikmesriikides nii kehtivat kui ka ettepanekus esitatud lahendust. Saatsime ettepaneku arvamuse avaldamiseks suurematele hankijatele</w:t>
      </w:r>
      <w:r w:rsidR="00D45EFD" w:rsidRPr="25B08C2E">
        <w:rPr>
          <w:rFonts w:ascii="Times New Roman" w:hAnsi="Times New Roman"/>
        </w:rPr>
        <w:t xml:space="preserve"> ja pakkujate esindajatele.</w:t>
      </w:r>
      <w:r w:rsidRPr="25B08C2E">
        <w:rPr>
          <w:rFonts w:ascii="Times New Roman" w:hAnsi="Times New Roman"/>
        </w:rPr>
        <w:t xml:space="preserve"> </w:t>
      </w:r>
      <w:r w:rsidR="00922B3B" w:rsidRPr="25B08C2E">
        <w:rPr>
          <w:rFonts w:ascii="Times New Roman" w:hAnsi="Times New Roman"/>
        </w:rPr>
        <w:t xml:space="preserve">Kõik küsitletud hankijad: </w:t>
      </w:r>
      <w:r w:rsidR="00093DFC" w:rsidRPr="25B08C2E">
        <w:rPr>
          <w:rFonts w:ascii="Times New Roman" w:hAnsi="Times New Roman"/>
        </w:rPr>
        <w:t>AS Eesti Energia,</w:t>
      </w:r>
      <w:r w:rsidR="00C65DF3" w:rsidRPr="25B08C2E">
        <w:rPr>
          <w:rFonts w:ascii="Times New Roman" w:hAnsi="Times New Roman"/>
        </w:rPr>
        <w:t xml:space="preserve"> Eesti Raudtee,</w:t>
      </w:r>
      <w:r w:rsidR="00093DFC" w:rsidRPr="25B08C2E">
        <w:rPr>
          <w:rFonts w:ascii="Times New Roman" w:hAnsi="Times New Roman"/>
        </w:rPr>
        <w:t xml:space="preserve"> </w:t>
      </w:r>
      <w:r w:rsidRPr="25B08C2E">
        <w:rPr>
          <w:rFonts w:ascii="Times New Roman" w:hAnsi="Times New Roman"/>
        </w:rPr>
        <w:t>R</w:t>
      </w:r>
      <w:r w:rsidR="00C65DF3" w:rsidRPr="25B08C2E">
        <w:rPr>
          <w:rFonts w:ascii="Times New Roman" w:hAnsi="Times New Roman"/>
        </w:rPr>
        <w:t>iigi Tugiteenuste Keskus</w:t>
      </w:r>
      <w:r w:rsidRPr="25B08C2E">
        <w:rPr>
          <w:rFonts w:ascii="Times New Roman" w:hAnsi="Times New Roman"/>
        </w:rPr>
        <w:t>, R</w:t>
      </w:r>
      <w:r w:rsidR="00C65DF3" w:rsidRPr="25B08C2E">
        <w:rPr>
          <w:rFonts w:ascii="Times New Roman" w:hAnsi="Times New Roman"/>
        </w:rPr>
        <w:t xml:space="preserve">iigi Kinnisvara </w:t>
      </w:r>
      <w:r w:rsidRPr="25B08C2E">
        <w:rPr>
          <w:rFonts w:ascii="Times New Roman" w:hAnsi="Times New Roman"/>
        </w:rPr>
        <w:t>AS</w:t>
      </w:r>
      <w:r w:rsidR="000B4784" w:rsidRPr="25B08C2E">
        <w:rPr>
          <w:rFonts w:ascii="Times New Roman" w:hAnsi="Times New Roman"/>
        </w:rPr>
        <w:t xml:space="preserve"> ja </w:t>
      </w:r>
      <w:r w:rsidR="00C65DF3" w:rsidRPr="25B08C2E">
        <w:rPr>
          <w:rFonts w:ascii="Times New Roman" w:hAnsi="Times New Roman"/>
        </w:rPr>
        <w:t>Riigi Kaitseinvesteeringute Keskus</w:t>
      </w:r>
      <w:r w:rsidR="000B4784" w:rsidRPr="25B08C2E">
        <w:rPr>
          <w:rFonts w:ascii="Times New Roman" w:hAnsi="Times New Roman"/>
        </w:rPr>
        <w:t xml:space="preserve"> toeta</w:t>
      </w:r>
      <w:r w:rsidR="00922B3B" w:rsidRPr="25B08C2E">
        <w:rPr>
          <w:rFonts w:ascii="Times New Roman" w:hAnsi="Times New Roman"/>
        </w:rPr>
        <w:t>sid ettepanekut,</w:t>
      </w:r>
      <w:r w:rsidR="000B4784" w:rsidRPr="25B08C2E">
        <w:rPr>
          <w:rFonts w:ascii="Times New Roman" w:hAnsi="Times New Roman"/>
        </w:rPr>
        <w:t xml:space="preserve"> märkides </w:t>
      </w:r>
      <w:r w:rsidR="003C58A8" w:rsidRPr="25B08C2E">
        <w:rPr>
          <w:rFonts w:ascii="Times New Roman" w:hAnsi="Times New Roman"/>
        </w:rPr>
        <w:t>ära</w:t>
      </w:r>
      <w:r w:rsidR="00922B3B" w:rsidRPr="25B08C2E">
        <w:rPr>
          <w:rFonts w:ascii="Times New Roman" w:hAnsi="Times New Roman"/>
        </w:rPr>
        <w:t xml:space="preserve"> halduskoormuse vähenemist ning asjaolu, et kõikides menetlustes ei ole otstarbekas kasutada kõiki vabatahtlikke kõrvaldamisaluseid. </w:t>
      </w:r>
      <w:r w:rsidR="00D218C1" w:rsidRPr="25B08C2E">
        <w:rPr>
          <w:rFonts w:ascii="Times New Roman" w:hAnsi="Times New Roman"/>
        </w:rPr>
        <w:t>Muudatus annaks hankijatele võimaluse valida kõrvaldamisalustest just konkreetses riigihanke menetluses kohas</w:t>
      </w:r>
      <w:r w:rsidR="00040F49" w:rsidRPr="25B08C2E">
        <w:rPr>
          <w:rFonts w:ascii="Times New Roman" w:hAnsi="Times New Roman"/>
        </w:rPr>
        <w:t xml:space="preserve">ed kõrvaldamisalused. </w:t>
      </w:r>
      <w:r w:rsidR="00E80BF6" w:rsidRPr="25B08C2E">
        <w:rPr>
          <w:rFonts w:ascii="Times New Roman" w:hAnsi="Times New Roman"/>
        </w:rPr>
        <w:t>H</w:t>
      </w:r>
      <w:r w:rsidR="004E597C" w:rsidRPr="25B08C2E">
        <w:rPr>
          <w:rFonts w:ascii="Times New Roman" w:hAnsi="Times New Roman"/>
        </w:rPr>
        <w:t>ankija</w:t>
      </w:r>
      <w:r w:rsidR="00E80BF6" w:rsidRPr="25B08C2E">
        <w:rPr>
          <w:rFonts w:ascii="Times New Roman" w:hAnsi="Times New Roman"/>
        </w:rPr>
        <w:t>d märkisid, et nad</w:t>
      </w:r>
      <w:r w:rsidR="004E597C" w:rsidRPr="25B08C2E">
        <w:rPr>
          <w:rFonts w:ascii="Times New Roman" w:hAnsi="Times New Roman"/>
        </w:rPr>
        <w:t xml:space="preserve"> </w:t>
      </w:r>
      <w:r w:rsidR="000A149F">
        <w:rPr>
          <w:rFonts w:ascii="Times New Roman" w:hAnsi="Times New Roman"/>
        </w:rPr>
        <w:t xml:space="preserve">ei </w:t>
      </w:r>
      <w:r w:rsidR="004E597C" w:rsidRPr="25B08C2E">
        <w:rPr>
          <w:rFonts w:ascii="Times New Roman" w:hAnsi="Times New Roman"/>
        </w:rPr>
        <w:t xml:space="preserve">jätaks mugavusest </w:t>
      </w:r>
      <w:r w:rsidR="00CA1B9C" w:rsidRPr="25B08C2E">
        <w:rPr>
          <w:rFonts w:ascii="Times New Roman" w:hAnsi="Times New Roman"/>
        </w:rPr>
        <w:t xml:space="preserve">pakkuja kontrollivõimaluse kasutamata, sest usaldusväärse partneri leidmist peetakse oluliseks. Leitakse, et  pigem tehakse muudatuse </w:t>
      </w:r>
      <w:r w:rsidR="00051028" w:rsidRPr="25B08C2E">
        <w:rPr>
          <w:rFonts w:ascii="Times New Roman" w:hAnsi="Times New Roman"/>
        </w:rPr>
        <w:t>jõustumise korral</w:t>
      </w:r>
      <w:r w:rsidR="00CA1B9C" w:rsidRPr="25B08C2E">
        <w:rPr>
          <w:rFonts w:ascii="Times New Roman" w:hAnsi="Times New Roman"/>
        </w:rPr>
        <w:t xml:space="preserve"> arukamaid ja rohkem läbi mõeldud valikuid. </w:t>
      </w:r>
      <w:r w:rsidR="00051028" w:rsidRPr="25B08C2E">
        <w:rPr>
          <w:rFonts w:ascii="Times New Roman" w:hAnsi="Times New Roman"/>
        </w:rPr>
        <w:t>K</w:t>
      </w:r>
      <w:r w:rsidR="00CA1B9C" w:rsidRPr="25B08C2E">
        <w:rPr>
          <w:rFonts w:ascii="Times New Roman" w:hAnsi="Times New Roman"/>
        </w:rPr>
        <w:t xml:space="preserve">õikide </w:t>
      </w:r>
      <w:r w:rsidR="00051028" w:rsidRPr="25B08C2E">
        <w:rPr>
          <w:rFonts w:ascii="Times New Roman" w:hAnsi="Times New Roman"/>
        </w:rPr>
        <w:t>vabatahtlike kõrvaldamis</w:t>
      </w:r>
      <w:r w:rsidR="00CA1B9C" w:rsidRPr="25B08C2E">
        <w:rPr>
          <w:rFonts w:ascii="Times New Roman" w:hAnsi="Times New Roman"/>
        </w:rPr>
        <w:t>aluste lausaline kontroll ei pruugi praktikas mingit lisaväärtust anda</w:t>
      </w:r>
      <w:r w:rsidR="00051028" w:rsidRPr="25B08C2E">
        <w:rPr>
          <w:rFonts w:ascii="Times New Roman" w:hAnsi="Times New Roman"/>
        </w:rPr>
        <w:t xml:space="preserve">. </w:t>
      </w:r>
      <w:r w:rsidR="00FF26B5" w:rsidRPr="25B08C2E">
        <w:rPr>
          <w:rFonts w:ascii="Times New Roman" w:hAnsi="Times New Roman"/>
        </w:rPr>
        <w:t xml:space="preserve">Samas ettevõtjaid esindav </w:t>
      </w:r>
      <w:r w:rsidRPr="25B08C2E">
        <w:rPr>
          <w:rFonts w:ascii="Times New Roman" w:hAnsi="Times New Roman"/>
        </w:rPr>
        <w:t>Kaubandus- ja Tööstusko</w:t>
      </w:r>
      <w:r w:rsidR="00FF26B5" w:rsidRPr="25B08C2E">
        <w:rPr>
          <w:rFonts w:ascii="Times New Roman" w:hAnsi="Times New Roman"/>
        </w:rPr>
        <w:t xml:space="preserve">da ettepanekut ei toetanud </w:t>
      </w:r>
      <w:r w:rsidR="00A52209" w:rsidRPr="25B08C2E">
        <w:rPr>
          <w:rFonts w:ascii="Times New Roman" w:hAnsi="Times New Roman"/>
        </w:rPr>
        <w:t xml:space="preserve">avaldades </w:t>
      </w:r>
      <w:r w:rsidR="005B70EB" w:rsidRPr="25B08C2E">
        <w:rPr>
          <w:rFonts w:ascii="Times New Roman" w:hAnsi="Times New Roman"/>
        </w:rPr>
        <w:t xml:space="preserve">muret </w:t>
      </w:r>
      <w:r w:rsidR="00D0130C" w:rsidRPr="25B08C2E">
        <w:rPr>
          <w:rFonts w:ascii="Times New Roman" w:hAnsi="Times New Roman"/>
        </w:rPr>
        <w:t xml:space="preserve">ebaausatele ettevõtjatele </w:t>
      </w:r>
      <w:r w:rsidR="005B70EB" w:rsidRPr="25B08C2E">
        <w:rPr>
          <w:rFonts w:ascii="Times New Roman" w:hAnsi="Times New Roman"/>
        </w:rPr>
        <w:t>konkurentsieelis</w:t>
      </w:r>
      <w:r w:rsidR="00D0130C" w:rsidRPr="25B08C2E">
        <w:rPr>
          <w:rFonts w:ascii="Times New Roman" w:hAnsi="Times New Roman"/>
        </w:rPr>
        <w:t>e andmise riski suurenemise</w:t>
      </w:r>
      <w:r w:rsidR="00032906" w:rsidRPr="25B08C2E">
        <w:rPr>
          <w:rFonts w:ascii="Times New Roman" w:hAnsi="Times New Roman"/>
        </w:rPr>
        <w:t xml:space="preserve"> üle</w:t>
      </w:r>
      <w:r w:rsidR="00FA6C64" w:rsidRPr="25B08C2E">
        <w:rPr>
          <w:rFonts w:ascii="Times New Roman" w:hAnsi="Times New Roman"/>
        </w:rPr>
        <w:t>, kui vabatahtlikke kõrvaldamis</w:t>
      </w:r>
      <w:r w:rsidR="005B70EB" w:rsidRPr="25B08C2E">
        <w:rPr>
          <w:rFonts w:ascii="Times New Roman" w:hAnsi="Times New Roman"/>
        </w:rPr>
        <w:t>aluseid üldse</w:t>
      </w:r>
      <w:r w:rsidR="00FA6C64" w:rsidRPr="25B08C2E">
        <w:rPr>
          <w:rFonts w:ascii="Times New Roman" w:hAnsi="Times New Roman"/>
        </w:rPr>
        <w:t xml:space="preserve"> ei kohaldata.</w:t>
      </w:r>
    </w:p>
    <w:p w14:paraId="29447DA4" w14:textId="1CB3A67A" w:rsidR="00A06A66" w:rsidRDefault="00A06A66" w:rsidP="088FAC11">
      <w:pPr>
        <w:jc w:val="both"/>
        <w:rPr>
          <w:rFonts w:ascii="Times New Roman" w:hAnsi="Times New Roman"/>
          <w:i/>
          <w:iCs/>
        </w:rPr>
      </w:pPr>
      <w:r w:rsidRPr="39272936">
        <w:rPr>
          <w:rFonts w:ascii="Times New Roman" w:hAnsi="Times New Roman"/>
          <w:i/>
          <w:iCs/>
        </w:rPr>
        <w:t xml:space="preserve">Alternatiivselt realiseerida ettepanek </w:t>
      </w:r>
      <w:r w:rsidR="0091604A" w:rsidRPr="39272936">
        <w:rPr>
          <w:rFonts w:ascii="Times New Roman" w:hAnsi="Times New Roman"/>
          <w:i/>
          <w:iCs/>
        </w:rPr>
        <w:t xml:space="preserve">ainult </w:t>
      </w:r>
      <w:r w:rsidRPr="39272936">
        <w:rPr>
          <w:rFonts w:ascii="Times New Roman" w:hAnsi="Times New Roman"/>
          <w:i/>
          <w:iCs/>
        </w:rPr>
        <w:t>alla rahvusvahelise piirmäära hangetes</w:t>
      </w:r>
      <w:r w:rsidRPr="39272936">
        <w:rPr>
          <w:rStyle w:val="Allmrkuseviide"/>
          <w:rFonts w:ascii="Times New Roman" w:hAnsi="Times New Roman"/>
          <w:i/>
          <w:iCs/>
        </w:rPr>
        <w:footnoteReference w:id="6"/>
      </w:r>
      <w:r w:rsidRPr="39272936">
        <w:rPr>
          <w:rFonts w:ascii="Times New Roman" w:hAnsi="Times New Roman"/>
          <w:i/>
          <w:iCs/>
        </w:rPr>
        <w:t>.</w:t>
      </w:r>
    </w:p>
    <w:p w14:paraId="3AEDB25A" w14:textId="77777777" w:rsidR="00A06A66" w:rsidRDefault="00A06A66" w:rsidP="000F432D">
      <w:pPr>
        <w:jc w:val="both"/>
        <w:rPr>
          <w:rFonts w:ascii="Times New Roman" w:hAnsi="Times New Roman"/>
          <w:i/>
        </w:rPr>
      </w:pPr>
    </w:p>
    <w:p w14:paraId="4BE000C2" w14:textId="045744C5" w:rsidR="00A06A66" w:rsidRPr="005928C2" w:rsidRDefault="00A06A66" w:rsidP="000F432D">
      <w:pPr>
        <w:jc w:val="both"/>
        <w:rPr>
          <w:rFonts w:ascii="Times New Roman" w:hAnsi="Times New Roman"/>
          <w:b/>
        </w:rPr>
      </w:pPr>
      <w:r>
        <w:rPr>
          <w:rFonts w:ascii="Times New Roman" w:hAnsi="Times New Roman"/>
          <w:b/>
        </w:rPr>
        <w:t>1.</w:t>
      </w:r>
      <w:r w:rsidRPr="005928C2">
        <w:rPr>
          <w:rFonts w:ascii="Times New Roman" w:hAnsi="Times New Roman"/>
          <w:b/>
        </w:rPr>
        <w:t>3. Põhjendamatult madala maksumuse</w:t>
      </w:r>
      <w:r>
        <w:rPr>
          <w:rFonts w:ascii="Times New Roman" w:hAnsi="Times New Roman"/>
          <w:b/>
        </w:rPr>
        <w:t>ga pakkumuste</w:t>
      </w:r>
      <w:r w:rsidRPr="005928C2">
        <w:rPr>
          <w:rFonts w:ascii="Times New Roman" w:hAnsi="Times New Roman"/>
          <w:b/>
        </w:rPr>
        <w:t xml:space="preserve"> kontrollimine vabatahtlikuks</w:t>
      </w:r>
      <w:r w:rsidR="00D125F6">
        <w:rPr>
          <w:rFonts w:ascii="Times New Roman" w:hAnsi="Times New Roman"/>
          <w:b/>
        </w:rPr>
        <w:t xml:space="preserve"> all</w:t>
      </w:r>
      <w:r w:rsidR="00A628D5">
        <w:rPr>
          <w:rFonts w:ascii="Times New Roman" w:hAnsi="Times New Roman"/>
          <w:b/>
        </w:rPr>
        <w:t>pool</w:t>
      </w:r>
      <w:r w:rsidR="00D125F6">
        <w:rPr>
          <w:rFonts w:ascii="Times New Roman" w:hAnsi="Times New Roman"/>
          <w:b/>
        </w:rPr>
        <w:t xml:space="preserve"> rahvusvahelis</w:t>
      </w:r>
      <w:r w:rsidR="00A628D5">
        <w:rPr>
          <w:rFonts w:ascii="Times New Roman" w:hAnsi="Times New Roman"/>
          <w:b/>
        </w:rPr>
        <w:t>t</w:t>
      </w:r>
      <w:r w:rsidR="00D125F6">
        <w:rPr>
          <w:rFonts w:ascii="Times New Roman" w:hAnsi="Times New Roman"/>
          <w:b/>
        </w:rPr>
        <w:t xml:space="preserve"> piirmäära </w:t>
      </w:r>
      <w:r>
        <w:rPr>
          <w:rFonts w:ascii="Times New Roman" w:hAnsi="Times New Roman"/>
          <w:b/>
        </w:rPr>
        <w:t>(RHS § 115)</w:t>
      </w:r>
    </w:p>
    <w:p w14:paraId="27245B1D" w14:textId="2A4A6986" w:rsidR="00A06A66" w:rsidRDefault="00A06A66" w:rsidP="000F432D">
      <w:pPr>
        <w:jc w:val="both"/>
        <w:rPr>
          <w:rFonts w:ascii="Times New Roman" w:hAnsi="Times New Roman"/>
        </w:rPr>
      </w:pPr>
      <w:r w:rsidRPr="33AAEE74">
        <w:rPr>
          <w:rFonts w:ascii="Times New Roman" w:hAnsi="Times New Roman"/>
        </w:rPr>
        <w:t xml:space="preserve">Hankija on kohustatud kontrollima pakkumuse maksumust, kui see on hankelepingu eset arvestades põhjendamatult madal. See kontroll eeldab hankijalt </w:t>
      </w:r>
      <w:r w:rsidR="00C308AE" w:rsidRPr="33AAEE74">
        <w:rPr>
          <w:rFonts w:ascii="Times New Roman" w:hAnsi="Times New Roman"/>
        </w:rPr>
        <w:t xml:space="preserve">ja ettevõtjatelt </w:t>
      </w:r>
      <w:r w:rsidRPr="33AAEE74">
        <w:rPr>
          <w:rFonts w:ascii="Times New Roman" w:hAnsi="Times New Roman"/>
        </w:rPr>
        <w:t xml:space="preserve">mitmeid tegevusi ning on aeganõudev. Samas on kontroll muutunud formaalseks ja vähemõjusaks ning on vaidluste allikaks. </w:t>
      </w:r>
      <w:r>
        <w:br/>
      </w:r>
      <w:r w:rsidRPr="33AAEE74">
        <w:rPr>
          <w:rFonts w:ascii="Times New Roman" w:hAnsi="Times New Roman"/>
        </w:rPr>
        <w:t>Regulatsioon ei täida eesmärki peamiselt kolmel põhjusel:</w:t>
      </w:r>
    </w:p>
    <w:p w14:paraId="38C836E3" w14:textId="0C663CD4" w:rsidR="00A06A66" w:rsidRDefault="00A06A66" w:rsidP="000F432D">
      <w:pPr>
        <w:pStyle w:val="Loendilik"/>
        <w:numPr>
          <w:ilvl w:val="0"/>
          <w:numId w:val="5"/>
        </w:numPr>
        <w:spacing w:line="240" w:lineRule="auto"/>
        <w:jc w:val="both"/>
        <w:rPr>
          <w:rFonts w:ascii="Times New Roman" w:hAnsi="Times New Roman"/>
        </w:rPr>
      </w:pPr>
      <w:r w:rsidRPr="5489C0B6">
        <w:rPr>
          <w:rFonts w:ascii="Times New Roman" w:hAnsi="Times New Roman"/>
        </w:rPr>
        <w:t xml:space="preserve">Alapakkumuse tuvastamise peamine meetod on pakkumuse hinna ja majandusliku väärtuse võrdlus, mis on keerukas majanduslik hinnang. Hankija ei ole valdkonnas tegutsev isik ning tal on keeruline (kui mitte võimatu) alapakkumust sisuliselt tuvastada. Seega sõltub hankija otsus paljuski pakkuja </w:t>
      </w:r>
      <w:r w:rsidR="0036440F" w:rsidRPr="5489C0B6">
        <w:rPr>
          <w:rFonts w:ascii="Times New Roman" w:hAnsi="Times New Roman"/>
        </w:rPr>
        <w:t xml:space="preserve">põhjendamisoskusest </w:t>
      </w:r>
      <w:r w:rsidRPr="5489C0B6">
        <w:rPr>
          <w:rFonts w:ascii="Times New Roman" w:hAnsi="Times New Roman"/>
        </w:rPr>
        <w:t>ja pealiskaudsest veenvusest.</w:t>
      </w:r>
    </w:p>
    <w:p w14:paraId="73EE63A6" w14:textId="2D984BC0" w:rsidR="00A06A66" w:rsidRDefault="00A06A66" w:rsidP="000F432D">
      <w:pPr>
        <w:pStyle w:val="Loendilik"/>
        <w:numPr>
          <w:ilvl w:val="0"/>
          <w:numId w:val="5"/>
        </w:numPr>
        <w:spacing w:line="240" w:lineRule="auto"/>
        <w:jc w:val="both"/>
        <w:rPr>
          <w:rFonts w:ascii="Times New Roman" w:hAnsi="Times New Roman"/>
        </w:rPr>
      </w:pPr>
      <w:r w:rsidRPr="0BDCE0F9">
        <w:rPr>
          <w:rFonts w:ascii="Times New Roman" w:hAnsi="Times New Roman"/>
        </w:rPr>
        <w:t xml:space="preserve">RHS ei keela ristsubsideerimist. See aga tähendab, et hangetes, kus </w:t>
      </w:r>
      <w:r w:rsidR="00CE4159" w:rsidRPr="0BDCE0F9">
        <w:rPr>
          <w:rFonts w:ascii="Times New Roman" w:hAnsi="Times New Roman"/>
        </w:rPr>
        <w:t>riigihanke alusdokumentides</w:t>
      </w:r>
      <w:r w:rsidRPr="0BDCE0F9">
        <w:rPr>
          <w:rFonts w:ascii="Times New Roman" w:hAnsi="Times New Roman"/>
        </w:rPr>
        <w:t xml:space="preserve"> pole ristsubsideerimist otsesõnu keelatud, on pakkujal alati võimalik põhjendada oma madalat hinda võimalusega </w:t>
      </w:r>
      <w:proofErr w:type="spellStart"/>
      <w:r w:rsidRPr="0BDCE0F9">
        <w:rPr>
          <w:rFonts w:ascii="Times New Roman" w:hAnsi="Times New Roman"/>
        </w:rPr>
        <w:t>ristsubsideerida</w:t>
      </w:r>
      <w:proofErr w:type="spellEnd"/>
      <w:r w:rsidRPr="0BDCE0F9">
        <w:rPr>
          <w:rFonts w:ascii="Times New Roman" w:hAnsi="Times New Roman"/>
        </w:rPr>
        <w:t xml:space="preserve"> kahjum muude, hankelepingu väliste tuludega.</w:t>
      </w:r>
    </w:p>
    <w:p w14:paraId="798DA629" w14:textId="4D41FCCF" w:rsidR="00A06A66" w:rsidRPr="000F432D" w:rsidRDefault="00A06A66" w:rsidP="000F432D">
      <w:pPr>
        <w:pStyle w:val="Loendilik"/>
        <w:numPr>
          <w:ilvl w:val="0"/>
          <w:numId w:val="5"/>
        </w:numPr>
        <w:spacing w:line="240" w:lineRule="auto"/>
        <w:jc w:val="both"/>
        <w:rPr>
          <w:rFonts w:ascii="Times New Roman" w:hAnsi="Times New Roman"/>
        </w:rPr>
      </w:pPr>
      <w:r>
        <w:rPr>
          <w:rFonts w:ascii="Times New Roman" w:hAnsi="Times New Roman"/>
        </w:rPr>
        <w:t>Tekitab palju vaidlusi ning kaebajad on edukad üksnes siis, kui</w:t>
      </w:r>
      <w:r w:rsidRPr="00163C3D">
        <w:rPr>
          <w:rFonts w:ascii="Times New Roman" w:hAnsi="Times New Roman"/>
        </w:rPr>
        <w:t xml:space="preserve"> hankijal pidi tekkima kahtlus maksumuse põhjendatuses, aga ta jättis kontrollimenetluse teostamata.</w:t>
      </w:r>
    </w:p>
    <w:p w14:paraId="245CCDDF" w14:textId="0D0ECCB2" w:rsidR="00A06A66" w:rsidRDefault="00A06A66" w:rsidP="000F432D">
      <w:pPr>
        <w:jc w:val="both"/>
        <w:rPr>
          <w:rFonts w:ascii="Times New Roman" w:hAnsi="Times New Roman"/>
        </w:rPr>
      </w:pPr>
      <w:r w:rsidRPr="0010151D">
        <w:rPr>
          <w:rFonts w:ascii="Times New Roman" w:hAnsi="Times New Roman"/>
          <w:b/>
        </w:rPr>
        <w:t>Ettepaneku sisuks</w:t>
      </w:r>
      <w:r>
        <w:rPr>
          <w:rFonts w:ascii="Times New Roman" w:hAnsi="Times New Roman"/>
        </w:rPr>
        <w:t xml:space="preserve"> on muuta p</w:t>
      </w:r>
      <w:r w:rsidRPr="00631E96">
        <w:rPr>
          <w:rFonts w:ascii="Times New Roman" w:hAnsi="Times New Roman"/>
        </w:rPr>
        <w:t>õhjendamatult madala maksumuse kontrollimine vabatahtlikuks.</w:t>
      </w:r>
    </w:p>
    <w:tbl>
      <w:tblPr>
        <w:tblStyle w:val="Kontuurtabel"/>
        <w:tblW w:w="0" w:type="auto"/>
        <w:tblLook w:val="04A0" w:firstRow="1" w:lastRow="0" w:firstColumn="1" w:lastColumn="0" w:noHBand="0" w:noVBand="1"/>
      </w:tblPr>
      <w:tblGrid>
        <w:gridCol w:w="1980"/>
        <w:gridCol w:w="7081"/>
      </w:tblGrid>
      <w:tr w:rsidR="00A06A66" w:rsidRPr="005D1362" w14:paraId="64B82E25" w14:textId="77777777" w:rsidTr="38E9470A">
        <w:tc>
          <w:tcPr>
            <w:tcW w:w="1980" w:type="dxa"/>
            <w:vMerge w:val="restart"/>
          </w:tcPr>
          <w:p w14:paraId="1752A534" w14:textId="77777777" w:rsidR="00A06A66" w:rsidRPr="005D1362" w:rsidRDefault="00A06A66" w:rsidP="0051554F">
            <w:pPr>
              <w:jc w:val="both"/>
              <w:rPr>
                <w:sz w:val="24"/>
                <w:szCs w:val="24"/>
              </w:rPr>
            </w:pPr>
          </w:p>
          <w:p w14:paraId="5898706A" w14:textId="77777777" w:rsidR="00A06A66" w:rsidRPr="005D1362" w:rsidRDefault="00A06A66" w:rsidP="0051554F">
            <w:pPr>
              <w:jc w:val="both"/>
              <w:rPr>
                <w:b/>
                <w:bCs/>
                <w:sz w:val="24"/>
                <w:szCs w:val="24"/>
              </w:rPr>
            </w:pPr>
            <w:r w:rsidRPr="005D1362">
              <w:rPr>
                <w:b/>
                <w:bCs/>
                <w:sz w:val="24"/>
                <w:szCs w:val="24"/>
              </w:rPr>
              <w:t>Positiivne mõju</w:t>
            </w:r>
          </w:p>
        </w:tc>
        <w:tc>
          <w:tcPr>
            <w:tcW w:w="7081" w:type="dxa"/>
          </w:tcPr>
          <w:p w14:paraId="6B1D7902" w14:textId="3781801F" w:rsidR="00A06A66" w:rsidRPr="005D1362" w:rsidRDefault="00A06A66" w:rsidP="0051554F">
            <w:pPr>
              <w:jc w:val="both"/>
              <w:rPr>
                <w:sz w:val="24"/>
                <w:szCs w:val="24"/>
              </w:rPr>
            </w:pPr>
            <w:r w:rsidRPr="38E9470A">
              <w:rPr>
                <w:sz w:val="24"/>
                <w:szCs w:val="24"/>
              </w:rPr>
              <w:t>Vähendab hankijate töökoormust</w:t>
            </w:r>
            <w:r w:rsidR="00E86905" w:rsidRPr="38E9470A">
              <w:rPr>
                <w:sz w:val="24"/>
                <w:szCs w:val="24"/>
              </w:rPr>
              <w:t xml:space="preserve"> ja ettevõtjate halduskoormust</w:t>
            </w:r>
            <w:r w:rsidRPr="38E9470A">
              <w:rPr>
                <w:sz w:val="24"/>
                <w:szCs w:val="24"/>
              </w:rPr>
              <w:t xml:space="preserve">. </w:t>
            </w:r>
          </w:p>
        </w:tc>
      </w:tr>
      <w:tr w:rsidR="00A06A66" w:rsidRPr="005D1362" w14:paraId="4806299C" w14:textId="77777777" w:rsidTr="38E9470A">
        <w:tc>
          <w:tcPr>
            <w:tcW w:w="1980" w:type="dxa"/>
            <w:vMerge/>
          </w:tcPr>
          <w:p w14:paraId="08CF3B5A" w14:textId="77777777" w:rsidR="00A06A66" w:rsidRPr="005D1362" w:rsidRDefault="00A06A66" w:rsidP="0051554F">
            <w:pPr>
              <w:jc w:val="both"/>
              <w:rPr>
                <w:sz w:val="24"/>
                <w:szCs w:val="24"/>
              </w:rPr>
            </w:pPr>
          </w:p>
        </w:tc>
        <w:tc>
          <w:tcPr>
            <w:tcW w:w="7081" w:type="dxa"/>
          </w:tcPr>
          <w:p w14:paraId="1124B37B" w14:textId="77777777" w:rsidR="00A06A66" w:rsidRPr="005D1362" w:rsidRDefault="00A06A66" w:rsidP="0051554F">
            <w:pPr>
              <w:jc w:val="both"/>
              <w:rPr>
                <w:sz w:val="24"/>
                <w:szCs w:val="24"/>
              </w:rPr>
            </w:pPr>
            <w:r w:rsidRPr="005D1362">
              <w:rPr>
                <w:sz w:val="24"/>
                <w:szCs w:val="24"/>
              </w:rPr>
              <w:t>Kiirendab hankemenetluse läbiviimist.</w:t>
            </w:r>
          </w:p>
        </w:tc>
      </w:tr>
      <w:tr w:rsidR="00A06A66" w:rsidRPr="005D1362" w14:paraId="7B08F29D" w14:textId="77777777" w:rsidTr="38E9470A">
        <w:tc>
          <w:tcPr>
            <w:tcW w:w="1980" w:type="dxa"/>
            <w:vMerge/>
          </w:tcPr>
          <w:p w14:paraId="2F771ACB" w14:textId="77777777" w:rsidR="00A06A66" w:rsidRPr="005D1362" w:rsidRDefault="00A06A66" w:rsidP="0051554F">
            <w:pPr>
              <w:jc w:val="both"/>
              <w:rPr>
                <w:sz w:val="24"/>
                <w:szCs w:val="24"/>
              </w:rPr>
            </w:pPr>
          </w:p>
        </w:tc>
        <w:tc>
          <w:tcPr>
            <w:tcW w:w="7081" w:type="dxa"/>
          </w:tcPr>
          <w:p w14:paraId="074B9E6A" w14:textId="77777777" w:rsidR="00A06A66" w:rsidRPr="005D1362" w:rsidRDefault="00A06A66" w:rsidP="0051554F">
            <w:pPr>
              <w:jc w:val="both"/>
              <w:rPr>
                <w:sz w:val="24"/>
                <w:szCs w:val="24"/>
              </w:rPr>
            </w:pPr>
            <w:r w:rsidRPr="005D1362">
              <w:rPr>
                <w:sz w:val="24"/>
                <w:szCs w:val="24"/>
              </w:rPr>
              <w:t xml:space="preserve">Vähendab vaidluste hulka.  </w:t>
            </w:r>
          </w:p>
        </w:tc>
      </w:tr>
    </w:tbl>
    <w:p w14:paraId="3C4F2D15" w14:textId="77777777" w:rsidR="000F432D" w:rsidRDefault="000F432D" w:rsidP="00A06A66">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1980"/>
        <w:gridCol w:w="7081"/>
      </w:tblGrid>
      <w:tr w:rsidR="00A06A66" w:rsidRPr="005D1362" w14:paraId="485FF233" w14:textId="77777777" w:rsidTr="0051554F">
        <w:tc>
          <w:tcPr>
            <w:tcW w:w="1980" w:type="dxa"/>
            <w:vMerge w:val="restart"/>
          </w:tcPr>
          <w:p w14:paraId="268DBD7A" w14:textId="77777777" w:rsidR="00A06A66" w:rsidRPr="005D1362" w:rsidRDefault="00A06A66" w:rsidP="0051554F">
            <w:pPr>
              <w:jc w:val="both"/>
              <w:rPr>
                <w:sz w:val="24"/>
                <w:szCs w:val="24"/>
              </w:rPr>
            </w:pPr>
          </w:p>
          <w:p w14:paraId="26AABE0C" w14:textId="77777777" w:rsidR="00A06A66" w:rsidRPr="005D1362" w:rsidRDefault="00A06A66" w:rsidP="0051554F">
            <w:pPr>
              <w:jc w:val="both"/>
              <w:rPr>
                <w:b/>
                <w:bCs/>
                <w:sz w:val="24"/>
                <w:szCs w:val="24"/>
              </w:rPr>
            </w:pPr>
            <w:r w:rsidRPr="005D1362">
              <w:rPr>
                <w:b/>
                <w:bCs/>
                <w:sz w:val="24"/>
                <w:szCs w:val="24"/>
              </w:rPr>
              <w:t>Riskid</w:t>
            </w:r>
          </w:p>
        </w:tc>
        <w:tc>
          <w:tcPr>
            <w:tcW w:w="7081" w:type="dxa"/>
          </w:tcPr>
          <w:p w14:paraId="7F49AC32" w14:textId="77777777" w:rsidR="00A06A66" w:rsidRPr="005D1362" w:rsidRDefault="00A06A66" w:rsidP="0051554F">
            <w:pPr>
              <w:tabs>
                <w:tab w:val="left" w:pos="6630"/>
              </w:tabs>
              <w:jc w:val="both"/>
              <w:rPr>
                <w:sz w:val="24"/>
                <w:szCs w:val="24"/>
              </w:rPr>
            </w:pPr>
            <w:r w:rsidRPr="005D1362">
              <w:rPr>
                <w:sz w:val="24"/>
                <w:szCs w:val="24"/>
              </w:rPr>
              <w:t xml:space="preserve">Vähendab hankija võimalusi end reaalsete alapakkumuste eest kaitsta. </w:t>
            </w:r>
          </w:p>
        </w:tc>
      </w:tr>
      <w:tr w:rsidR="00A06A66" w:rsidRPr="005D1362" w14:paraId="742F3D1D" w14:textId="77777777" w:rsidTr="0051554F">
        <w:tc>
          <w:tcPr>
            <w:tcW w:w="1980" w:type="dxa"/>
            <w:vMerge/>
          </w:tcPr>
          <w:p w14:paraId="23DB6812" w14:textId="77777777" w:rsidR="00A06A66" w:rsidRPr="005D1362" w:rsidRDefault="00A06A66" w:rsidP="0051554F">
            <w:pPr>
              <w:jc w:val="both"/>
              <w:rPr>
                <w:sz w:val="24"/>
                <w:szCs w:val="24"/>
              </w:rPr>
            </w:pPr>
          </w:p>
        </w:tc>
        <w:tc>
          <w:tcPr>
            <w:tcW w:w="7081" w:type="dxa"/>
          </w:tcPr>
          <w:p w14:paraId="33343057" w14:textId="77777777" w:rsidR="00A06A66" w:rsidRPr="005D1362" w:rsidRDefault="00A06A66" w:rsidP="0051554F">
            <w:pPr>
              <w:jc w:val="both"/>
              <w:rPr>
                <w:i/>
                <w:iCs/>
                <w:sz w:val="24"/>
                <w:szCs w:val="24"/>
              </w:rPr>
            </w:pPr>
            <w:r w:rsidRPr="005D1362">
              <w:rPr>
                <w:sz w:val="24"/>
                <w:szCs w:val="24"/>
              </w:rPr>
              <w:t>Suurendab riski, et hankeleping ei ole jätkusuutlik madala kasumlikkuse tõttu ja et pakkuja ei ole võimeline selle hinnaga hankelepingut täitma.</w:t>
            </w:r>
          </w:p>
        </w:tc>
      </w:tr>
      <w:tr w:rsidR="00A06A66" w:rsidRPr="005D1362" w14:paraId="5C6B9067" w14:textId="77777777" w:rsidTr="0051554F">
        <w:tc>
          <w:tcPr>
            <w:tcW w:w="1980" w:type="dxa"/>
            <w:vMerge/>
          </w:tcPr>
          <w:p w14:paraId="534874A0" w14:textId="77777777" w:rsidR="00A06A66" w:rsidRPr="005D1362" w:rsidRDefault="00A06A66" w:rsidP="0051554F">
            <w:pPr>
              <w:jc w:val="both"/>
              <w:rPr>
                <w:sz w:val="24"/>
                <w:szCs w:val="24"/>
              </w:rPr>
            </w:pPr>
          </w:p>
        </w:tc>
        <w:tc>
          <w:tcPr>
            <w:tcW w:w="7081" w:type="dxa"/>
          </w:tcPr>
          <w:p w14:paraId="1DAEF7F7" w14:textId="77777777" w:rsidR="00A06A66" w:rsidRPr="005D1362" w:rsidRDefault="00A06A66" w:rsidP="0051554F">
            <w:pPr>
              <w:jc w:val="both"/>
              <w:rPr>
                <w:sz w:val="24"/>
                <w:szCs w:val="24"/>
              </w:rPr>
            </w:pPr>
            <w:r w:rsidRPr="005D1362">
              <w:rPr>
                <w:sz w:val="24"/>
                <w:szCs w:val="24"/>
              </w:rPr>
              <w:t>Hankija kaalutlusotsus, seega vähendab hankemenetluse läbipaistvust.</w:t>
            </w:r>
          </w:p>
        </w:tc>
      </w:tr>
    </w:tbl>
    <w:p w14:paraId="258F98CF" w14:textId="77777777" w:rsidR="00A06A66" w:rsidRDefault="00A06A66" w:rsidP="00A06A66">
      <w:pPr>
        <w:jc w:val="both"/>
        <w:rPr>
          <w:rFonts w:ascii="Times New Roman" w:hAnsi="Times New Roman"/>
          <w:i/>
        </w:rPr>
      </w:pPr>
    </w:p>
    <w:p w14:paraId="10E60B6D" w14:textId="1286F028" w:rsidR="00A06A66" w:rsidRPr="002173CE" w:rsidRDefault="00A06A66" w:rsidP="000F432D">
      <w:pPr>
        <w:jc w:val="both"/>
        <w:rPr>
          <w:rFonts w:ascii="Times New Roman" w:hAnsi="Times New Roman"/>
        </w:rPr>
      </w:pPr>
      <w:r w:rsidRPr="002173CE">
        <w:rPr>
          <w:rFonts w:ascii="Times New Roman" w:hAnsi="Times New Roman"/>
        </w:rPr>
        <w:t>Referentsriikidest Soomes kehtib regulatsioon vaid üle rahvusvahelise piirmäära; Rootsis ka alla; Portugalis sätestab hankija hankedokumentides mida ta peab põhjendamatult madalaks maksumuseks.</w:t>
      </w:r>
      <w:r w:rsidR="004B267D">
        <w:rPr>
          <w:rFonts w:ascii="Times New Roman" w:hAnsi="Times New Roman"/>
        </w:rPr>
        <w:t xml:space="preserve"> </w:t>
      </w:r>
      <w:r w:rsidR="00E36AA4">
        <w:rPr>
          <w:rFonts w:ascii="Times New Roman" w:hAnsi="Times New Roman"/>
        </w:rPr>
        <w:t>TGS Baltic</w:t>
      </w:r>
      <w:r w:rsidR="00094FD7">
        <w:rPr>
          <w:rFonts w:ascii="Times New Roman" w:hAnsi="Times New Roman"/>
        </w:rPr>
        <w:t>u analüüsis</w:t>
      </w:r>
      <w:r w:rsidR="00E36AA4">
        <w:rPr>
          <w:rFonts w:ascii="Times New Roman" w:hAnsi="Times New Roman"/>
        </w:rPr>
        <w:t xml:space="preserve"> </w:t>
      </w:r>
      <w:r w:rsidR="00E427F4">
        <w:rPr>
          <w:rFonts w:ascii="Times New Roman" w:hAnsi="Times New Roman"/>
        </w:rPr>
        <w:t>esile toodud kommentaarides on nii pooldavaid kui skeptilisi seisukohti.</w:t>
      </w:r>
    </w:p>
    <w:p w14:paraId="1752E8AD" w14:textId="311B3AE2" w:rsidR="00A06A66" w:rsidRDefault="00A06A66" w:rsidP="2A8BED4A">
      <w:pPr>
        <w:jc w:val="both"/>
        <w:rPr>
          <w:rFonts w:ascii="Times New Roman" w:hAnsi="Times New Roman"/>
          <w:i/>
          <w:iCs/>
        </w:rPr>
      </w:pPr>
      <w:r w:rsidRPr="2A8BED4A">
        <w:rPr>
          <w:rFonts w:ascii="Times New Roman" w:hAnsi="Times New Roman"/>
          <w:i/>
          <w:iCs/>
        </w:rPr>
        <w:t xml:space="preserve">Alternatiivselt, kaotada ehitustööde hankelepingutes keskmise töötasu tõendi ning selgituse nõudmise kohustus lähtuvalt pakkumuste maksumuse </w:t>
      </w:r>
      <w:r w:rsidR="00432EBB" w:rsidRPr="2A8BED4A">
        <w:rPr>
          <w:rFonts w:ascii="Times New Roman" w:hAnsi="Times New Roman"/>
          <w:i/>
          <w:iCs/>
        </w:rPr>
        <w:t xml:space="preserve">vahe </w:t>
      </w:r>
      <w:r w:rsidRPr="2A8BED4A">
        <w:rPr>
          <w:rFonts w:ascii="Times New Roman" w:hAnsi="Times New Roman"/>
          <w:i/>
          <w:iCs/>
        </w:rPr>
        <w:t>protsentidest ja makstud töötasust.</w:t>
      </w:r>
    </w:p>
    <w:p w14:paraId="582C1EC3" w14:textId="77777777" w:rsidR="00A06A66" w:rsidRPr="00631E96" w:rsidRDefault="00A06A66" w:rsidP="000F432D">
      <w:pPr>
        <w:jc w:val="both"/>
        <w:rPr>
          <w:rFonts w:ascii="Times New Roman" w:hAnsi="Times New Roman"/>
        </w:rPr>
      </w:pPr>
      <w:r>
        <w:rPr>
          <w:rFonts w:ascii="Times New Roman" w:hAnsi="Times New Roman"/>
          <w:b/>
        </w:rPr>
        <w:t>1.</w:t>
      </w:r>
      <w:r w:rsidRPr="000F5116">
        <w:rPr>
          <w:rFonts w:ascii="Times New Roman" w:hAnsi="Times New Roman"/>
          <w:b/>
        </w:rPr>
        <w:t>4.</w:t>
      </w:r>
      <w:r>
        <w:rPr>
          <w:rFonts w:ascii="Times New Roman" w:hAnsi="Times New Roman"/>
          <w:b/>
        </w:rPr>
        <w:t xml:space="preserve"> </w:t>
      </w:r>
      <w:r w:rsidRPr="00F97FD2">
        <w:rPr>
          <w:rFonts w:ascii="Times New Roman" w:hAnsi="Times New Roman"/>
          <w:b/>
        </w:rPr>
        <w:t>Võimaldada hankijal kontrollida vaid majanduslikult soodsaima pakkumuse vastavust, kui pakkumusi hinnatakse üksnes maksumuse alusel.</w:t>
      </w:r>
      <w:r w:rsidRPr="00F97FD2">
        <w:rPr>
          <w:rFonts w:ascii="Times New Roman" w:hAnsi="Times New Roman"/>
          <w:b/>
        </w:rPr>
        <w:cr/>
      </w:r>
    </w:p>
    <w:p w14:paraId="2FA51048" w14:textId="797321F4" w:rsidR="00A06A66" w:rsidRPr="00631E96" w:rsidRDefault="00A06A66" w:rsidP="000F432D">
      <w:pPr>
        <w:jc w:val="both"/>
        <w:rPr>
          <w:rFonts w:ascii="Times New Roman" w:hAnsi="Times New Roman"/>
        </w:rPr>
      </w:pPr>
      <w:r w:rsidRPr="7393BEC7">
        <w:rPr>
          <w:rFonts w:ascii="Times New Roman" w:hAnsi="Times New Roman"/>
        </w:rPr>
        <w:t xml:space="preserve">Hankija kontrollib kõigi kvalifitseeritud pakkujate vastavust või </w:t>
      </w:r>
      <w:r w:rsidR="00EF44A3" w:rsidRPr="7393BEC7">
        <w:rPr>
          <w:rFonts w:ascii="Times New Roman" w:hAnsi="Times New Roman"/>
        </w:rPr>
        <w:t xml:space="preserve">nn </w:t>
      </w:r>
      <w:proofErr w:type="spellStart"/>
      <w:r w:rsidRPr="7393BEC7">
        <w:rPr>
          <w:rFonts w:ascii="Times New Roman" w:hAnsi="Times New Roman"/>
        </w:rPr>
        <w:t>pöördmenetluse</w:t>
      </w:r>
      <w:proofErr w:type="spellEnd"/>
      <w:r w:rsidRPr="7393BEC7">
        <w:rPr>
          <w:rFonts w:ascii="Times New Roman" w:hAnsi="Times New Roman"/>
        </w:rPr>
        <w:t xml:space="preserve"> korral pärast pakkumuste avamist kõikide pakkumuste vastavust. Seejärel hinnatakse vaid vastavaks tunnistatud pakkumusi.</w:t>
      </w:r>
    </w:p>
    <w:p w14:paraId="54FEB6DE" w14:textId="3276A906" w:rsidR="00A06A66" w:rsidRDefault="00A06A66" w:rsidP="000F432D">
      <w:pPr>
        <w:jc w:val="both"/>
        <w:rPr>
          <w:rFonts w:ascii="Times New Roman" w:hAnsi="Times New Roman"/>
        </w:rPr>
      </w:pPr>
      <w:r w:rsidRPr="000F5116">
        <w:rPr>
          <w:rFonts w:ascii="Times New Roman" w:hAnsi="Times New Roman"/>
          <w:b/>
        </w:rPr>
        <w:t>Ettepaneku sisuks</w:t>
      </w:r>
      <w:r>
        <w:rPr>
          <w:rFonts w:ascii="Times New Roman" w:hAnsi="Times New Roman"/>
        </w:rPr>
        <w:t xml:space="preserve"> on võimaldada</w:t>
      </w:r>
      <w:r w:rsidRPr="00631E96">
        <w:rPr>
          <w:rFonts w:ascii="Times New Roman" w:hAnsi="Times New Roman"/>
        </w:rPr>
        <w:t xml:space="preserve"> </w:t>
      </w:r>
      <w:r>
        <w:rPr>
          <w:rFonts w:ascii="Times New Roman" w:hAnsi="Times New Roman"/>
        </w:rPr>
        <w:t>h</w:t>
      </w:r>
      <w:r w:rsidRPr="00631E96">
        <w:rPr>
          <w:rFonts w:ascii="Times New Roman" w:hAnsi="Times New Roman"/>
        </w:rPr>
        <w:t>ankija</w:t>
      </w:r>
      <w:r>
        <w:rPr>
          <w:rFonts w:ascii="Times New Roman" w:hAnsi="Times New Roman"/>
        </w:rPr>
        <w:t>l</w:t>
      </w:r>
      <w:r w:rsidRPr="00631E96">
        <w:rPr>
          <w:rFonts w:ascii="Times New Roman" w:hAnsi="Times New Roman"/>
        </w:rPr>
        <w:t xml:space="preserve"> kontrolli</w:t>
      </w:r>
      <w:r>
        <w:rPr>
          <w:rFonts w:ascii="Times New Roman" w:hAnsi="Times New Roman"/>
        </w:rPr>
        <w:t>da</w:t>
      </w:r>
      <w:r w:rsidRPr="00631E96">
        <w:rPr>
          <w:rFonts w:ascii="Times New Roman" w:hAnsi="Times New Roman"/>
        </w:rPr>
        <w:t xml:space="preserve"> vaid </w:t>
      </w:r>
      <w:r w:rsidR="00557331">
        <w:rPr>
          <w:rFonts w:ascii="Times New Roman" w:hAnsi="Times New Roman"/>
        </w:rPr>
        <w:t>parima</w:t>
      </w:r>
      <w:r w:rsidRPr="00631E96">
        <w:rPr>
          <w:rFonts w:ascii="Times New Roman" w:hAnsi="Times New Roman"/>
        </w:rPr>
        <w:t xml:space="preserve"> vastavust, kui pakkumusi hinnatakse üksnes maksumuse alusel. </w:t>
      </w:r>
      <w:r>
        <w:rPr>
          <w:rFonts w:ascii="Times New Roman" w:hAnsi="Times New Roman"/>
        </w:rPr>
        <w:t xml:space="preserve"> Paraku ei ole m</w:t>
      </w:r>
      <w:r w:rsidRPr="0089570E">
        <w:rPr>
          <w:rFonts w:ascii="Times New Roman" w:hAnsi="Times New Roman"/>
        </w:rPr>
        <w:t xml:space="preserve">uudatus rakendatav hangetes, kus on kasutusel kvalitatiivsed hindamise kriteeriumid (s.t ei hinnata ainult maksumust). </w:t>
      </w:r>
      <w:r>
        <w:rPr>
          <w:rFonts w:ascii="Times New Roman" w:hAnsi="Times New Roman"/>
        </w:rPr>
        <w:t>Nimelt võivad tuvastamata mittevastavad pakkumused saada põhjendamatult kõrgemaid hindeid, sest tekitavad hindamisel vale pingerea</w:t>
      </w:r>
      <w:r w:rsidRPr="0089570E">
        <w:rPr>
          <w:rFonts w:ascii="Times New Roman" w:hAnsi="Times New Roman"/>
        </w:rPr>
        <w:t>.</w:t>
      </w:r>
    </w:p>
    <w:tbl>
      <w:tblPr>
        <w:tblStyle w:val="Kontuurtabel"/>
        <w:tblW w:w="0" w:type="auto"/>
        <w:tblLook w:val="04A0" w:firstRow="1" w:lastRow="0" w:firstColumn="1" w:lastColumn="0" w:noHBand="0" w:noVBand="1"/>
      </w:tblPr>
      <w:tblGrid>
        <w:gridCol w:w="1980"/>
        <w:gridCol w:w="7081"/>
      </w:tblGrid>
      <w:tr w:rsidR="00A06A66" w:rsidRPr="005D1362" w14:paraId="3C800C75" w14:textId="77777777" w:rsidTr="0051554F">
        <w:tc>
          <w:tcPr>
            <w:tcW w:w="1980" w:type="dxa"/>
            <w:vMerge w:val="restart"/>
          </w:tcPr>
          <w:p w14:paraId="4ABA57FC" w14:textId="77777777" w:rsidR="00A06A66" w:rsidRPr="005D1362" w:rsidRDefault="00A06A66" w:rsidP="0051554F">
            <w:pPr>
              <w:jc w:val="both"/>
              <w:rPr>
                <w:sz w:val="24"/>
                <w:szCs w:val="24"/>
              </w:rPr>
            </w:pPr>
          </w:p>
          <w:p w14:paraId="69CE499E" w14:textId="77777777" w:rsidR="00A06A66" w:rsidRPr="005D1362" w:rsidRDefault="00A06A66" w:rsidP="0051554F">
            <w:pPr>
              <w:jc w:val="both"/>
              <w:rPr>
                <w:b/>
                <w:bCs/>
                <w:sz w:val="24"/>
                <w:szCs w:val="24"/>
              </w:rPr>
            </w:pPr>
            <w:r w:rsidRPr="005D1362">
              <w:rPr>
                <w:b/>
                <w:bCs/>
                <w:sz w:val="24"/>
                <w:szCs w:val="24"/>
              </w:rPr>
              <w:t>Positiivne mõju</w:t>
            </w:r>
          </w:p>
        </w:tc>
        <w:tc>
          <w:tcPr>
            <w:tcW w:w="7081" w:type="dxa"/>
          </w:tcPr>
          <w:p w14:paraId="29EB21E5" w14:textId="77777777" w:rsidR="00A06A66" w:rsidRPr="005D1362" w:rsidRDefault="00A06A66" w:rsidP="0051554F">
            <w:pPr>
              <w:jc w:val="both"/>
              <w:rPr>
                <w:sz w:val="24"/>
                <w:szCs w:val="24"/>
              </w:rPr>
            </w:pPr>
            <w:r w:rsidRPr="005D1362">
              <w:rPr>
                <w:sz w:val="24"/>
                <w:szCs w:val="24"/>
              </w:rPr>
              <w:t xml:space="preserve">Vähendab hankijate töökoormust. </w:t>
            </w:r>
          </w:p>
        </w:tc>
      </w:tr>
      <w:tr w:rsidR="00A06A66" w:rsidRPr="005D1362" w14:paraId="44D8F923" w14:textId="77777777" w:rsidTr="0051554F">
        <w:tc>
          <w:tcPr>
            <w:tcW w:w="1980" w:type="dxa"/>
            <w:vMerge/>
          </w:tcPr>
          <w:p w14:paraId="176ABC2C" w14:textId="77777777" w:rsidR="00A06A66" w:rsidRPr="005D1362" w:rsidRDefault="00A06A66" w:rsidP="0051554F">
            <w:pPr>
              <w:jc w:val="both"/>
              <w:rPr>
                <w:sz w:val="24"/>
                <w:szCs w:val="24"/>
              </w:rPr>
            </w:pPr>
          </w:p>
        </w:tc>
        <w:tc>
          <w:tcPr>
            <w:tcW w:w="7081" w:type="dxa"/>
          </w:tcPr>
          <w:p w14:paraId="74C1AB63" w14:textId="77777777" w:rsidR="00A06A66" w:rsidRPr="005D1362" w:rsidRDefault="00A06A66" w:rsidP="0051554F">
            <w:pPr>
              <w:jc w:val="both"/>
              <w:rPr>
                <w:sz w:val="24"/>
                <w:szCs w:val="24"/>
              </w:rPr>
            </w:pPr>
            <w:r w:rsidRPr="005D1362">
              <w:rPr>
                <w:sz w:val="24"/>
                <w:szCs w:val="24"/>
              </w:rPr>
              <w:t>Kiirendab hankemenetluse läbiviimist.</w:t>
            </w:r>
          </w:p>
        </w:tc>
      </w:tr>
      <w:tr w:rsidR="00A06A66" w:rsidRPr="005D1362" w14:paraId="7331382F" w14:textId="77777777" w:rsidTr="0051554F">
        <w:tc>
          <w:tcPr>
            <w:tcW w:w="1980" w:type="dxa"/>
            <w:vMerge/>
          </w:tcPr>
          <w:p w14:paraId="52DA9D70" w14:textId="77777777" w:rsidR="00A06A66" w:rsidRPr="005D1362" w:rsidRDefault="00A06A66" w:rsidP="0051554F">
            <w:pPr>
              <w:jc w:val="both"/>
              <w:rPr>
                <w:sz w:val="24"/>
                <w:szCs w:val="24"/>
              </w:rPr>
            </w:pPr>
          </w:p>
        </w:tc>
        <w:tc>
          <w:tcPr>
            <w:tcW w:w="7081" w:type="dxa"/>
          </w:tcPr>
          <w:p w14:paraId="27D6B6D8" w14:textId="77777777" w:rsidR="00A06A66" w:rsidRPr="005D1362" w:rsidRDefault="00A06A66" w:rsidP="0051554F">
            <w:pPr>
              <w:jc w:val="both"/>
              <w:rPr>
                <w:sz w:val="24"/>
                <w:szCs w:val="24"/>
              </w:rPr>
            </w:pPr>
            <w:r w:rsidRPr="005D1362">
              <w:rPr>
                <w:sz w:val="24"/>
                <w:szCs w:val="24"/>
              </w:rPr>
              <w:t xml:space="preserve">Vähendab ka pakkujate töökoormust, kuna ei pea vastama kõikidele päringutele.  </w:t>
            </w:r>
          </w:p>
        </w:tc>
      </w:tr>
    </w:tbl>
    <w:p w14:paraId="42455A5C" w14:textId="77777777" w:rsidR="00A06A66" w:rsidRDefault="00A06A66" w:rsidP="00A06A66">
      <w:pPr>
        <w:jc w:val="both"/>
        <w:rPr>
          <w:rFonts w:ascii="Times New Roman" w:hAnsi="Times New Roman"/>
        </w:rPr>
      </w:pPr>
    </w:p>
    <w:tbl>
      <w:tblPr>
        <w:tblStyle w:val="Kontuurtabel"/>
        <w:tblW w:w="0" w:type="auto"/>
        <w:tblLook w:val="04A0" w:firstRow="1" w:lastRow="0" w:firstColumn="1" w:lastColumn="0" w:noHBand="0" w:noVBand="1"/>
      </w:tblPr>
      <w:tblGrid>
        <w:gridCol w:w="1980"/>
        <w:gridCol w:w="7081"/>
      </w:tblGrid>
      <w:tr w:rsidR="00A06A66" w:rsidRPr="005D1362" w14:paraId="458D8F7E" w14:textId="77777777" w:rsidTr="0051554F">
        <w:tc>
          <w:tcPr>
            <w:tcW w:w="1980" w:type="dxa"/>
            <w:vMerge w:val="restart"/>
          </w:tcPr>
          <w:p w14:paraId="79A85BDA" w14:textId="77777777" w:rsidR="00A06A66" w:rsidRPr="005D1362" w:rsidRDefault="00A06A66" w:rsidP="0051554F">
            <w:pPr>
              <w:jc w:val="both"/>
              <w:rPr>
                <w:sz w:val="24"/>
                <w:szCs w:val="24"/>
              </w:rPr>
            </w:pPr>
          </w:p>
          <w:p w14:paraId="4AD8B1A1" w14:textId="77777777" w:rsidR="00A06A66" w:rsidRPr="005D1362" w:rsidRDefault="00A06A66" w:rsidP="0051554F">
            <w:pPr>
              <w:jc w:val="both"/>
              <w:rPr>
                <w:b/>
                <w:bCs/>
                <w:sz w:val="24"/>
                <w:szCs w:val="24"/>
              </w:rPr>
            </w:pPr>
            <w:r w:rsidRPr="005D1362">
              <w:rPr>
                <w:b/>
                <w:bCs/>
                <w:sz w:val="24"/>
                <w:szCs w:val="24"/>
              </w:rPr>
              <w:t>Riskid</w:t>
            </w:r>
          </w:p>
        </w:tc>
        <w:tc>
          <w:tcPr>
            <w:tcW w:w="7081" w:type="dxa"/>
          </w:tcPr>
          <w:p w14:paraId="76235C01" w14:textId="77777777" w:rsidR="00A06A66" w:rsidRPr="005D1362" w:rsidRDefault="00A06A66" w:rsidP="0051554F">
            <w:pPr>
              <w:tabs>
                <w:tab w:val="left" w:pos="6630"/>
              </w:tabs>
              <w:jc w:val="both"/>
              <w:rPr>
                <w:sz w:val="24"/>
                <w:szCs w:val="24"/>
              </w:rPr>
            </w:pPr>
            <w:r w:rsidRPr="005D1362">
              <w:rPr>
                <w:sz w:val="24"/>
                <w:szCs w:val="24"/>
              </w:rPr>
              <w:t xml:space="preserve">Võib tekkida olukord, kus edukas pakkumus on mittevastav ja hankija peab alustama uut hindamist.  </w:t>
            </w:r>
          </w:p>
        </w:tc>
      </w:tr>
      <w:tr w:rsidR="00A06A66" w:rsidRPr="005D1362" w14:paraId="3B495BE7" w14:textId="77777777" w:rsidTr="0051554F">
        <w:tc>
          <w:tcPr>
            <w:tcW w:w="1980" w:type="dxa"/>
            <w:vMerge/>
          </w:tcPr>
          <w:p w14:paraId="62C6BBCC" w14:textId="77777777" w:rsidR="00A06A66" w:rsidRPr="005D1362" w:rsidRDefault="00A06A66" w:rsidP="0051554F">
            <w:pPr>
              <w:jc w:val="both"/>
              <w:rPr>
                <w:sz w:val="24"/>
                <w:szCs w:val="24"/>
              </w:rPr>
            </w:pPr>
          </w:p>
        </w:tc>
        <w:tc>
          <w:tcPr>
            <w:tcW w:w="7081" w:type="dxa"/>
          </w:tcPr>
          <w:p w14:paraId="7D1F77F1" w14:textId="77777777" w:rsidR="00A06A66" w:rsidRPr="005D1362" w:rsidRDefault="00A06A66" w:rsidP="0051554F">
            <w:pPr>
              <w:jc w:val="both"/>
              <w:rPr>
                <w:i/>
                <w:iCs/>
                <w:sz w:val="24"/>
                <w:szCs w:val="24"/>
              </w:rPr>
            </w:pPr>
            <w:r w:rsidRPr="005D1362">
              <w:rPr>
                <w:sz w:val="24"/>
                <w:szCs w:val="24"/>
              </w:rPr>
              <w:t>Õiguskaitse nõrgenemine, kuna pakkujatel on ühe võrra vähem võimalust vaidlustada (vastavuse otsuse vaidlustamine)</w:t>
            </w:r>
          </w:p>
        </w:tc>
      </w:tr>
      <w:tr w:rsidR="00A06A66" w:rsidRPr="005D1362" w14:paraId="77D151C6" w14:textId="77777777" w:rsidTr="0051554F">
        <w:tc>
          <w:tcPr>
            <w:tcW w:w="1980" w:type="dxa"/>
            <w:vMerge/>
          </w:tcPr>
          <w:p w14:paraId="0857706F" w14:textId="77777777" w:rsidR="00A06A66" w:rsidRPr="005D1362" w:rsidRDefault="00A06A66" w:rsidP="0051554F">
            <w:pPr>
              <w:jc w:val="both"/>
              <w:rPr>
                <w:sz w:val="24"/>
                <w:szCs w:val="24"/>
              </w:rPr>
            </w:pPr>
          </w:p>
        </w:tc>
        <w:tc>
          <w:tcPr>
            <w:tcW w:w="7081" w:type="dxa"/>
          </w:tcPr>
          <w:p w14:paraId="1D80F8B1" w14:textId="77777777" w:rsidR="00A06A66" w:rsidRPr="005D1362" w:rsidRDefault="00A06A66" w:rsidP="0051554F">
            <w:pPr>
              <w:jc w:val="both"/>
              <w:rPr>
                <w:sz w:val="24"/>
                <w:szCs w:val="24"/>
              </w:rPr>
            </w:pPr>
            <w:r w:rsidRPr="005D1362">
              <w:rPr>
                <w:sz w:val="24"/>
                <w:szCs w:val="24"/>
              </w:rPr>
              <w:t xml:space="preserve">Selleks, et vastavust mitte hinnata, võivad hankijad seada hindamiskriteeriumiks vaid maksumuse/hinna.   </w:t>
            </w:r>
          </w:p>
        </w:tc>
      </w:tr>
    </w:tbl>
    <w:p w14:paraId="343B10F7" w14:textId="77777777" w:rsidR="00A06A66" w:rsidRDefault="00A06A66" w:rsidP="00A06A66">
      <w:pPr>
        <w:jc w:val="both"/>
        <w:rPr>
          <w:rFonts w:ascii="Times New Roman" w:hAnsi="Times New Roman"/>
          <w:b/>
        </w:rPr>
      </w:pPr>
    </w:p>
    <w:p w14:paraId="70A992AC" w14:textId="53CE8FA0" w:rsidR="00C508BD" w:rsidRPr="00880176" w:rsidRDefault="000D0C39" w:rsidP="000F432D">
      <w:pPr>
        <w:jc w:val="both"/>
        <w:rPr>
          <w:rFonts w:ascii="Times New Roman" w:hAnsi="Times New Roman"/>
        </w:rPr>
      </w:pPr>
      <w:r w:rsidRPr="00880176">
        <w:rPr>
          <w:rFonts w:ascii="Times New Roman" w:hAnsi="Times New Roman"/>
        </w:rPr>
        <w:t>Soomes ja Rootsis puudub kohustus kontrollida kõikide pakkumuste vastavust</w:t>
      </w:r>
      <w:r w:rsidR="00115982" w:rsidRPr="00880176">
        <w:rPr>
          <w:rFonts w:ascii="Times New Roman" w:hAnsi="Times New Roman"/>
        </w:rPr>
        <w:t>. Hankija otsustab ise kas, millal ja kuidas pakkumuse</w:t>
      </w:r>
      <w:r w:rsidR="00880176" w:rsidRPr="00880176">
        <w:rPr>
          <w:rFonts w:ascii="Times New Roman" w:hAnsi="Times New Roman"/>
        </w:rPr>
        <w:t xml:space="preserve"> vastavust kontrollida. Portugalis on Eestiga sarnane regulatsioon, kus hankija on kohustatud kontrollima kõikide pakkumuste vastavust.</w:t>
      </w:r>
      <w:r w:rsidR="00094FD7">
        <w:rPr>
          <w:rFonts w:ascii="Times New Roman" w:hAnsi="Times New Roman"/>
        </w:rPr>
        <w:t xml:space="preserve"> TGS Balticu analüüsi andmetel toetas valdav osa </w:t>
      </w:r>
      <w:r w:rsidR="00D031F8">
        <w:rPr>
          <w:rFonts w:ascii="Times New Roman" w:hAnsi="Times New Roman"/>
        </w:rPr>
        <w:t>tagasisidet andnud hankijatest ettepanekut, kuid märkisid, et väärtuspõhistes hangetes ei ole meede kasutatav.</w:t>
      </w:r>
    </w:p>
    <w:p w14:paraId="3F7B1E65" w14:textId="7A194A76" w:rsidR="000F432D" w:rsidRPr="00400525" w:rsidRDefault="00400525" w:rsidP="001530D3">
      <w:pPr>
        <w:pStyle w:val="Loendilik"/>
        <w:numPr>
          <w:ilvl w:val="0"/>
          <w:numId w:val="2"/>
        </w:numPr>
        <w:jc w:val="both"/>
        <w:rPr>
          <w:rFonts w:ascii="Times New Roman" w:hAnsi="Times New Roman" w:cs="Times New Roman"/>
          <w:b/>
          <w:bCs/>
        </w:rPr>
      </w:pPr>
      <w:r w:rsidRPr="00400525">
        <w:rPr>
          <w:rFonts w:ascii="Times New Roman" w:hAnsi="Times New Roman" w:cs="Times New Roman"/>
          <w:b/>
          <w:bCs/>
        </w:rPr>
        <w:t xml:space="preserve">Väiksema mõjuga </w:t>
      </w:r>
      <w:r w:rsidR="001530D3" w:rsidRPr="00400525">
        <w:rPr>
          <w:rFonts w:ascii="Times New Roman" w:hAnsi="Times New Roman" w:cs="Times New Roman"/>
          <w:b/>
          <w:bCs/>
        </w:rPr>
        <w:t>muudatuse</w:t>
      </w:r>
      <w:r w:rsidRPr="00400525">
        <w:rPr>
          <w:rFonts w:ascii="Times New Roman" w:hAnsi="Times New Roman" w:cs="Times New Roman"/>
          <w:b/>
          <w:bCs/>
        </w:rPr>
        <w:t>d</w:t>
      </w:r>
    </w:p>
    <w:tbl>
      <w:tblPr>
        <w:tblStyle w:val="Kontuurtabel"/>
        <w:tblW w:w="0" w:type="auto"/>
        <w:tblLook w:val="04A0" w:firstRow="1" w:lastRow="0" w:firstColumn="1" w:lastColumn="0" w:noHBand="0" w:noVBand="1"/>
      </w:tblPr>
      <w:tblGrid>
        <w:gridCol w:w="742"/>
        <w:gridCol w:w="8320"/>
      </w:tblGrid>
      <w:tr w:rsidR="00A06A66" w:rsidRPr="005D1362" w14:paraId="3C6E9C0F" w14:textId="77777777" w:rsidTr="003A6238">
        <w:tc>
          <w:tcPr>
            <w:tcW w:w="742" w:type="dxa"/>
            <w:vMerge w:val="restart"/>
            <w:shd w:val="clear" w:color="auto" w:fill="92D050"/>
            <w:textDirection w:val="btLr"/>
          </w:tcPr>
          <w:p w14:paraId="07EB3B70" w14:textId="6424A255" w:rsidR="00A06A66" w:rsidRPr="005D1362" w:rsidRDefault="00B314C0" w:rsidP="0051554F">
            <w:pPr>
              <w:ind w:left="113" w:right="113"/>
              <w:jc w:val="center"/>
              <w:rPr>
                <w:b/>
                <w:bCs/>
                <w:sz w:val="24"/>
                <w:szCs w:val="24"/>
              </w:rPr>
            </w:pPr>
            <w:r>
              <w:rPr>
                <w:b/>
              </w:rPr>
              <w:t>Väiksema mõjuga m</w:t>
            </w:r>
            <w:r w:rsidR="00A06A66" w:rsidRPr="00C72275">
              <w:rPr>
                <w:b/>
              </w:rPr>
              <w:t>uudatusettepanekud</w:t>
            </w:r>
            <w:r w:rsidR="00A06A66">
              <w:rPr>
                <w:b/>
              </w:rPr>
              <w:t xml:space="preserve"> </w:t>
            </w:r>
            <w:r w:rsidR="00166F43">
              <w:rPr>
                <w:b/>
              </w:rPr>
              <w:br/>
            </w:r>
            <w:r w:rsidR="00166F43">
              <w:rPr>
                <w:b/>
              </w:rPr>
              <w:br/>
            </w:r>
          </w:p>
        </w:tc>
        <w:tc>
          <w:tcPr>
            <w:tcW w:w="8320" w:type="dxa"/>
          </w:tcPr>
          <w:p w14:paraId="6653EB16" w14:textId="77777777" w:rsidR="00A06A66" w:rsidRPr="005D1362" w:rsidRDefault="00A06A66" w:rsidP="0051554F">
            <w:pPr>
              <w:tabs>
                <w:tab w:val="left" w:pos="6630"/>
              </w:tabs>
              <w:jc w:val="both"/>
              <w:rPr>
                <w:sz w:val="24"/>
                <w:szCs w:val="24"/>
              </w:rPr>
            </w:pPr>
            <w:r w:rsidRPr="005D1362">
              <w:rPr>
                <w:sz w:val="24"/>
                <w:szCs w:val="24"/>
              </w:rPr>
              <w:t>Võimaldada avaliku sektori hankijal, kes on samaaegselt võrgustiku sektori hankija, kohaldada võrgustikusektori riigihangete piirmäärasid.</w:t>
            </w:r>
          </w:p>
        </w:tc>
      </w:tr>
      <w:tr w:rsidR="00A06A66" w:rsidRPr="005D1362" w14:paraId="52145AB1" w14:textId="77777777" w:rsidTr="003A6238">
        <w:tc>
          <w:tcPr>
            <w:tcW w:w="742" w:type="dxa"/>
            <w:vMerge/>
            <w:shd w:val="clear" w:color="auto" w:fill="92D050"/>
          </w:tcPr>
          <w:p w14:paraId="7A65C8F5" w14:textId="77777777" w:rsidR="00A06A66" w:rsidRPr="005D1362" w:rsidRDefault="00A06A66" w:rsidP="0051554F">
            <w:pPr>
              <w:jc w:val="both"/>
              <w:rPr>
                <w:sz w:val="24"/>
                <w:szCs w:val="24"/>
              </w:rPr>
            </w:pPr>
          </w:p>
        </w:tc>
        <w:tc>
          <w:tcPr>
            <w:tcW w:w="8320" w:type="dxa"/>
          </w:tcPr>
          <w:p w14:paraId="2DDB5338" w14:textId="77777777" w:rsidR="00A06A66" w:rsidRPr="005D1362" w:rsidRDefault="00A06A66" w:rsidP="0051554F">
            <w:pPr>
              <w:jc w:val="both"/>
              <w:rPr>
                <w:i/>
                <w:iCs/>
                <w:sz w:val="24"/>
                <w:szCs w:val="24"/>
              </w:rPr>
            </w:pPr>
            <w:r w:rsidRPr="005D1362">
              <w:rPr>
                <w:sz w:val="24"/>
                <w:szCs w:val="24"/>
              </w:rPr>
              <w:t>Võimaldada hankijal teha hankepassiga menetlustes kõik otsused korraga.</w:t>
            </w:r>
          </w:p>
        </w:tc>
      </w:tr>
      <w:tr w:rsidR="00A06A66" w:rsidRPr="005D1362" w14:paraId="2BA11135" w14:textId="77777777" w:rsidTr="003A6238">
        <w:tc>
          <w:tcPr>
            <w:tcW w:w="742" w:type="dxa"/>
            <w:vMerge/>
            <w:shd w:val="clear" w:color="auto" w:fill="92D050"/>
          </w:tcPr>
          <w:p w14:paraId="71E81FD9" w14:textId="77777777" w:rsidR="00A06A66" w:rsidRPr="005D1362" w:rsidRDefault="00A06A66" w:rsidP="0051554F">
            <w:pPr>
              <w:jc w:val="both"/>
              <w:rPr>
                <w:sz w:val="24"/>
                <w:szCs w:val="24"/>
              </w:rPr>
            </w:pPr>
          </w:p>
        </w:tc>
        <w:tc>
          <w:tcPr>
            <w:tcW w:w="8320" w:type="dxa"/>
          </w:tcPr>
          <w:p w14:paraId="711AC915" w14:textId="77777777" w:rsidR="00A06A66" w:rsidRPr="005D1362" w:rsidRDefault="00A06A66" w:rsidP="0051554F">
            <w:pPr>
              <w:jc w:val="both"/>
              <w:rPr>
                <w:sz w:val="24"/>
                <w:szCs w:val="24"/>
              </w:rPr>
            </w:pPr>
            <w:r w:rsidRPr="005D1362">
              <w:rPr>
                <w:sz w:val="24"/>
                <w:szCs w:val="24"/>
              </w:rPr>
              <w:t>Kohustada hankijat tegema ettevõtja kohta dünaamilise hankesüsteemiga liitmise otsus vaid siis, kui ettevõtjat süsteemiga ei liideta.</w:t>
            </w:r>
          </w:p>
        </w:tc>
      </w:tr>
      <w:tr w:rsidR="00A06A66" w:rsidRPr="005D1362" w14:paraId="69ABBE4D" w14:textId="77777777" w:rsidTr="003A6238">
        <w:tc>
          <w:tcPr>
            <w:tcW w:w="742" w:type="dxa"/>
            <w:vMerge/>
            <w:shd w:val="clear" w:color="auto" w:fill="92D050"/>
          </w:tcPr>
          <w:p w14:paraId="5D1DEB5B" w14:textId="77777777" w:rsidR="00A06A66" w:rsidRPr="005D1362" w:rsidRDefault="00A06A66" w:rsidP="0051554F">
            <w:pPr>
              <w:jc w:val="both"/>
              <w:rPr>
                <w:sz w:val="24"/>
                <w:szCs w:val="24"/>
              </w:rPr>
            </w:pPr>
          </w:p>
        </w:tc>
        <w:tc>
          <w:tcPr>
            <w:tcW w:w="8320" w:type="dxa"/>
          </w:tcPr>
          <w:p w14:paraId="5FDAD860" w14:textId="77777777" w:rsidR="00A06A66" w:rsidRPr="005D1362" w:rsidRDefault="00A06A66" w:rsidP="0051554F">
            <w:pPr>
              <w:jc w:val="both"/>
              <w:rPr>
                <w:sz w:val="24"/>
                <w:szCs w:val="24"/>
              </w:rPr>
            </w:pPr>
            <w:r w:rsidRPr="005D1362">
              <w:rPr>
                <w:sz w:val="24"/>
                <w:szCs w:val="24"/>
              </w:rPr>
              <w:t>Kaotada hankija kohustus pidada väljakuulutamiseta läbirääkimistega hankemenetluses läbirääkimisi.</w:t>
            </w:r>
          </w:p>
        </w:tc>
      </w:tr>
      <w:tr w:rsidR="00A06A66" w:rsidRPr="005D1362" w14:paraId="38B3D534" w14:textId="77777777" w:rsidTr="003A6238">
        <w:tc>
          <w:tcPr>
            <w:tcW w:w="742" w:type="dxa"/>
            <w:vMerge/>
            <w:shd w:val="clear" w:color="auto" w:fill="92D050"/>
          </w:tcPr>
          <w:p w14:paraId="7CB09198" w14:textId="77777777" w:rsidR="00A06A66" w:rsidRPr="005D1362" w:rsidRDefault="00A06A66" w:rsidP="0051554F">
            <w:pPr>
              <w:jc w:val="both"/>
              <w:rPr>
                <w:sz w:val="24"/>
                <w:szCs w:val="24"/>
              </w:rPr>
            </w:pPr>
          </w:p>
        </w:tc>
        <w:tc>
          <w:tcPr>
            <w:tcW w:w="8320" w:type="dxa"/>
          </w:tcPr>
          <w:p w14:paraId="1CCE7D91" w14:textId="77777777" w:rsidR="00A06A66" w:rsidRPr="005D1362" w:rsidRDefault="00A06A66" w:rsidP="0051554F">
            <w:pPr>
              <w:jc w:val="both"/>
              <w:rPr>
                <w:sz w:val="24"/>
                <w:szCs w:val="24"/>
              </w:rPr>
            </w:pPr>
            <w:r w:rsidRPr="005D1362">
              <w:rPr>
                <w:sz w:val="24"/>
                <w:szCs w:val="24"/>
              </w:rPr>
              <w:t>Kaotada alla rahvusvahelise piirmäära jäävates riigihangetes kohustus põhjendada, miks hankija otsustas riigihanget osadeks mitte jaotada.</w:t>
            </w:r>
          </w:p>
        </w:tc>
      </w:tr>
      <w:tr w:rsidR="00A06A66" w:rsidRPr="005D1362" w14:paraId="452BC217" w14:textId="77777777" w:rsidTr="003A6238">
        <w:tc>
          <w:tcPr>
            <w:tcW w:w="742" w:type="dxa"/>
            <w:vMerge/>
            <w:shd w:val="clear" w:color="auto" w:fill="92D050"/>
          </w:tcPr>
          <w:p w14:paraId="66070833" w14:textId="77777777" w:rsidR="00A06A66" w:rsidRPr="005D1362" w:rsidRDefault="00A06A66" w:rsidP="0051554F">
            <w:pPr>
              <w:jc w:val="both"/>
              <w:rPr>
                <w:sz w:val="24"/>
                <w:szCs w:val="24"/>
              </w:rPr>
            </w:pPr>
          </w:p>
        </w:tc>
        <w:tc>
          <w:tcPr>
            <w:tcW w:w="8320" w:type="dxa"/>
          </w:tcPr>
          <w:p w14:paraId="36D28457" w14:textId="77777777" w:rsidR="00A06A66" w:rsidRPr="005D1362" w:rsidRDefault="00A06A66" w:rsidP="0051554F">
            <w:pPr>
              <w:jc w:val="both"/>
              <w:rPr>
                <w:sz w:val="24"/>
                <w:szCs w:val="24"/>
              </w:rPr>
            </w:pPr>
            <w:r w:rsidRPr="005D1362">
              <w:rPr>
                <w:sz w:val="24"/>
                <w:szCs w:val="24"/>
              </w:rPr>
              <w:t xml:space="preserve">Võimaldada võrgustikusektori hankijatel kohaldada alla rahvusvahelist piirmäära </w:t>
            </w:r>
            <w:proofErr w:type="spellStart"/>
            <w:r w:rsidRPr="005D1362">
              <w:rPr>
                <w:sz w:val="24"/>
                <w:szCs w:val="24"/>
              </w:rPr>
              <w:t>hankijatevahelise</w:t>
            </w:r>
            <w:proofErr w:type="spellEnd"/>
            <w:r w:rsidRPr="005D1362">
              <w:rPr>
                <w:sz w:val="24"/>
                <w:szCs w:val="24"/>
              </w:rPr>
              <w:t xml:space="preserve"> koostöö erandit.</w:t>
            </w:r>
          </w:p>
        </w:tc>
      </w:tr>
      <w:tr w:rsidR="00A06A66" w:rsidRPr="005D1362" w14:paraId="2F5A370A" w14:textId="77777777" w:rsidTr="003A6238">
        <w:tc>
          <w:tcPr>
            <w:tcW w:w="742" w:type="dxa"/>
            <w:vMerge/>
            <w:shd w:val="clear" w:color="auto" w:fill="92D050"/>
          </w:tcPr>
          <w:p w14:paraId="3AC1C6F2" w14:textId="77777777" w:rsidR="00A06A66" w:rsidRPr="005D1362" w:rsidRDefault="00A06A66" w:rsidP="0051554F">
            <w:pPr>
              <w:jc w:val="both"/>
              <w:rPr>
                <w:sz w:val="24"/>
                <w:szCs w:val="24"/>
              </w:rPr>
            </w:pPr>
          </w:p>
        </w:tc>
        <w:tc>
          <w:tcPr>
            <w:tcW w:w="8320" w:type="dxa"/>
          </w:tcPr>
          <w:p w14:paraId="36F9FC8B" w14:textId="77777777" w:rsidR="00A06A66" w:rsidRPr="005D1362" w:rsidRDefault="00A06A66" w:rsidP="0051554F">
            <w:pPr>
              <w:jc w:val="both"/>
              <w:rPr>
                <w:sz w:val="24"/>
                <w:szCs w:val="24"/>
              </w:rPr>
            </w:pPr>
            <w:r w:rsidRPr="005D1362">
              <w:rPr>
                <w:sz w:val="24"/>
                <w:szCs w:val="24"/>
              </w:rPr>
              <w:t>Võimaldada hankijal enamates olukordades esitada hankelepingu täitjale lisatellimus.</w:t>
            </w:r>
          </w:p>
        </w:tc>
      </w:tr>
      <w:tr w:rsidR="00A06A66" w:rsidRPr="005D1362" w14:paraId="4C47C65C" w14:textId="77777777" w:rsidTr="003A6238">
        <w:tc>
          <w:tcPr>
            <w:tcW w:w="742" w:type="dxa"/>
            <w:vMerge/>
            <w:shd w:val="clear" w:color="auto" w:fill="92D050"/>
          </w:tcPr>
          <w:p w14:paraId="32FE4C9B" w14:textId="77777777" w:rsidR="00A06A66" w:rsidRPr="005D1362" w:rsidRDefault="00A06A66" w:rsidP="0051554F">
            <w:pPr>
              <w:jc w:val="both"/>
              <w:rPr>
                <w:sz w:val="24"/>
                <w:szCs w:val="24"/>
              </w:rPr>
            </w:pPr>
          </w:p>
        </w:tc>
        <w:tc>
          <w:tcPr>
            <w:tcW w:w="8320" w:type="dxa"/>
          </w:tcPr>
          <w:p w14:paraId="60CDA535" w14:textId="77777777" w:rsidR="00A06A66" w:rsidRPr="005D1362" w:rsidRDefault="00A06A66" w:rsidP="0051554F">
            <w:pPr>
              <w:jc w:val="both"/>
              <w:rPr>
                <w:sz w:val="24"/>
                <w:szCs w:val="24"/>
              </w:rPr>
            </w:pPr>
            <w:r w:rsidRPr="005D1362">
              <w:rPr>
                <w:sz w:val="24"/>
                <w:szCs w:val="24"/>
              </w:rPr>
              <w:t>Luua võrgustikusektori hankijale täiendavad õigused väljakuulutamiseta läbirääkimistega hankemenetluse kasutamiseks, kui hanke maht jääb alla rahvusvahelise piirmäära.</w:t>
            </w:r>
          </w:p>
        </w:tc>
      </w:tr>
      <w:tr w:rsidR="00A06A66" w:rsidRPr="005D1362" w14:paraId="4A2593FF" w14:textId="77777777" w:rsidTr="003A6238">
        <w:tc>
          <w:tcPr>
            <w:tcW w:w="742" w:type="dxa"/>
            <w:vMerge/>
            <w:shd w:val="clear" w:color="auto" w:fill="92D050"/>
          </w:tcPr>
          <w:p w14:paraId="789184AB" w14:textId="77777777" w:rsidR="00A06A66" w:rsidRPr="005D1362" w:rsidRDefault="00A06A66" w:rsidP="0051554F">
            <w:pPr>
              <w:jc w:val="both"/>
              <w:rPr>
                <w:sz w:val="24"/>
                <w:szCs w:val="24"/>
              </w:rPr>
            </w:pPr>
          </w:p>
        </w:tc>
        <w:tc>
          <w:tcPr>
            <w:tcW w:w="8320" w:type="dxa"/>
          </w:tcPr>
          <w:p w14:paraId="019B9EBE" w14:textId="77777777" w:rsidR="00A06A66" w:rsidRPr="005D1362" w:rsidRDefault="00A06A66" w:rsidP="0051554F">
            <w:pPr>
              <w:jc w:val="both"/>
              <w:rPr>
                <w:sz w:val="24"/>
                <w:szCs w:val="24"/>
              </w:rPr>
            </w:pPr>
            <w:r w:rsidRPr="005D1362">
              <w:rPr>
                <w:sz w:val="24"/>
                <w:szCs w:val="24"/>
              </w:rPr>
              <w:t>Laiendada hankija võimalusi taotleda vaidlustusmenetluses hankelepingu sõlmimiseks loa andmist.</w:t>
            </w:r>
          </w:p>
        </w:tc>
      </w:tr>
      <w:tr w:rsidR="00A06A66" w:rsidRPr="005D1362" w14:paraId="268B285F" w14:textId="77777777" w:rsidTr="003A6238">
        <w:tc>
          <w:tcPr>
            <w:tcW w:w="742" w:type="dxa"/>
            <w:vMerge/>
            <w:shd w:val="clear" w:color="auto" w:fill="92D050"/>
          </w:tcPr>
          <w:p w14:paraId="1EAB8797" w14:textId="77777777" w:rsidR="00A06A66" w:rsidRPr="005D1362" w:rsidRDefault="00A06A66" w:rsidP="0051554F">
            <w:pPr>
              <w:jc w:val="both"/>
              <w:rPr>
                <w:sz w:val="24"/>
                <w:szCs w:val="24"/>
              </w:rPr>
            </w:pPr>
          </w:p>
        </w:tc>
        <w:tc>
          <w:tcPr>
            <w:tcW w:w="8320" w:type="dxa"/>
          </w:tcPr>
          <w:p w14:paraId="357D64A7" w14:textId="77777777" w:rsidR="00A06A66" w:rsidRPr="005D1362" w:rsidRDefault="00A06A66" w:rsidP="0051554F">
            <w:pPr>
              <w:jc w:val="both"/>
              <w:rPr>
                <w:sz w:val="24"/>
                <w:szCs w:val="24"/>
              </w:rPr>
            </w:pPr>
            <w:r w:rsidRPr="005D1362">
              <w:rPr>
                <w:sz w:val="24"/>
                <w:szCs w:val="24"/>
              </w:rPr>
              <w:t>Pikendada hankelepingu muutmise kohta registrile teate esitamise tähtaega.</w:t>
            </w:r>
          </w:p>
        </w:tc>
      </w:tr>
      <w:tr w:rsidR="00A06A66" w:rsidRPr="005D1362" w14:paraId="20C6114B" w14:textId="77777777" w:rsidTr="003A6238">
        <w:tc>
          <w:tcPr>
            <w:tcW w:w="742" w:type="dxa"/>
            <w:vMerge/>
            <w:shd w:val="clear" w:color="auto" w:fill="92D050"/>
          </w:tcPr>
          <w:p w14:paraId="439885D9" w14:textId="77777777" w:rsidR="00A06A66" w:rsidRPr="005D1362" w:rsidRDefault="00A06A66" w:rsidP="0051554F">
            <w:pPr>
              <w:jc w:val="both"/>
              <w:rPr>
                <w:sz w:val="24"/>
                <w:szCs w:val="24"/>
              </w:rPr>
            </w:pPr>
          </w:p>
        </w:tc>
        <w:tc>
          <w:tcPr>
            <w:tcW w:w="8320" w:type="dxa"/>
          </w:tcPr>
          <w:p w14:paraId="4D53BEA8" w14:textId="77777777" w:rsidR="00A06A66" w:rsidRPr="005D1362" w:rsidRDefault="00A06A66" w:rsidP="0051554F">
            <w:pPr>
              <w:jc w:val="both"/>
              <w:rPr>
                <w:sz w:val="24"/>
                <w:szCs w:val="24"/>
              </w:rPr>
            </w:pPr>
            <w:r w:rsidRPr="005D1362">
              <w:rPr>
                <w:sz w:val="24"/>
                <w:szCs w:val="24"/>
              </w:rPr>
              <w:t>Kohustada hankijat esitama raamlepingu alusel sõlmitud hankelepingute andmeid raamlepingu lõppedes, mitte iga 12 kuu kohta. Alternatiivselt, võimaldada koondandmeid esitada alates raamlepingu kehtivusest, mitte alates raamlepingu sõlmimisest.</w:t>
            </w:r>
          </w:p>
        </w:tc>
      </w:tr>
      <w:tr w:rsidR="00A06A66" w:rsidRPr="005D1362" w14:paraId="067D2FEC" w14:textId="77777777" w:rsidTr="003A6238">
        <w:tc>
          <w:tcPr>
            <w:tcW w:w="742" w:type="dxa"/>
            <w:vMerge/>
            <w:shd w:val="clear" w:color="auto" w:fill="92D050"/>
          </w:tcPr>
          <w:p w14:paraId="6992310D" w14:textId="77777777" w:rsidR="00A06A66" w:rsidRPr="005D1362" w:rsidRDefault="00A06A66" w:rsidP="0051554F">
            <w:pPr>
              <w:jc w:val="both"/>
              <w:rPr>
                <w:sz w:val="24"/>
                <w:szCs w:val="24"/>
              </w:rPr>
            </w:pPr>
          </w:p>
        </w:tc>
        <w:tc>
          <w:tcPr>
            <w:tcW w:w="8320" w:type="dxa"/>
          </w:tcPr>
          <w:p w14:paraId="2870B284" w14:textId="77777777" w:rsidR="00A06A66" w:rsidRPr="005D1362" w:rsidRDefault="00A06A66" w:rsidP="0051554F">
            <w:pPr>
              <w:jc w:val="both"/>
              <w:rPr>
                <w:sz w:val="24"/>
                <w:szCs w:val="24"/>
              </w:rPr>
            </w:pPr>
            <w:r w:rsidRPr="005D1362">
              <w:rPr>
                <w:sz w:val="24"/>
                <w:szCs w:val="24"/>
              </w:rPr>
              <w:t>Eemaldada kohustus veenduda, et teade hanketeate muutmise kohta on edastatud kõikidele pakkujatele, taotlejatele ja teistele temale teadaolevatele riigihankest huvitatud ettevõtjatele.</w:t>
            </w:r>
          </w:p>
        </w:tc>
      </w:tr>
      <w:tr w:rsidR="00D16E2C" w:rsidRPr="005D1362" w14:paraId="0B42C324" w14:textId="77777777" w:rsidTr="003A6238">
        <w:trPr>
          <w:trHeight w:val="612"/>
        </w:trPr>
        <w:tc>
          <w:tcPr>
            <w:tcW w:w="742" w:type="dxa"/>
            <w:vMerge/>
            <w:shd w:val="clear" w:color="auto" w:fill="92D050"/>
          </w:tcPr>
          <w:p w14:paraId="0BA42C88" w14:textId="77777777" w:rsidR="00D16E2C" w:rsidRPr="005D1362" w:rsidRDefault="00D16E2C" w:rsidP="0051554F">
            <w:pPr>
              <w:jc w:val="both"/>
              <w:rPr>
                <w:sz w:val="24"/>
                <w:szCs w:val="24"/>
              </w:rPr>
            </w:pPr>
          </w:p>
        </w:tc>
        <w:tc>
          <w:tcPr>
            <w:tcW w:w="8320" w:type="dxa"/>
          </w:tcPr>
          <w:p w14:paraId="344D0EEF" w14:textId="77777777" w:rsidR="00D16E2C" w:rsidRPr="005D1362" w:rsidRDefault="00D16E2C" w:rsidP="000F432D">
            <w:pPr>
              <w:jc w:val="both"/>
              <w:rPr>
                <w:sz w:val="24"/>
                <w:szCs w:val="24"/>
              </w:rPr>
            </w:pPr>
            <w:r w:rsidRPr="005D1362">
              <w:rPr>
                <w:sz w:val="24"/>
                <w:szCs w:val="24"/>
              </w:rPr>
              <w:t>Sätestada vaikimisi pakkumuste jõusoleku tähtaeg ja siduda tagatise tähtaeg pakkumuste jõusoleku tähtajaga.</w:t>
            </w:r>
          </w:p>
        </w:tc>
      </w:tr>
      <w:tr w:rsidR="008A7489" w:rsidRPr="005D1362" w14:paraId="1A4992DD" w14:textId="77777777" w:rsidTr="003A6238">
        <w:tc>
          <w:tcPr>
            <w:tcW w:w="742" w:type="dxa"/>
            <w:shd w:val="clear" w:color="auto" w:fill="92D050"/>
          </w:tcPr>
          <w:p w14:paraId="3F15CF4B" w14:textId="77777777" w:rsidR="008A7489" w:rsidRPr="005D1362" w:rsidRDefault="008A7489" w:rsidP="0051554F">
            <w:pPr>
              <w:jc w:val="both"/>
            </w:pPr>
          </w:p>
        </w:tc>
        <w:tc>
          <w:tcPr>
            <w:tcW w:w="8320" w:type="dxa"/>
          </w:tcPr>
          <w:p w14:paraId="42BE5181" w14:textId="4BEAEF32" w:rsidR="008A7489" w:rsidRPr="005D1362" w:rsidRDefault="008A7489" w:rsidP="0051554F">
            <w:pPr>
              <w:jc w:val="both"/>
              <w:rPr>
                <w:sz w:val="24"/>
                <w:szCs w:val="24"/>
              </w:rPr>
            </w:pPr>
            <w:r w:rsidRPr="005D1362">
              <w:rPr>
                <w:sz w:val="24"/>
                <w:szCs w:val="24"/>
              </w:rPr>
              <w:t>Lühendada hankija päringule vastamise tähtaega</w:t>
            </w:r>
          </w:p>
        </w:tc>
      </w:tr>
      <w:tr w:rsidR="00E020E1" w:rsidRPr="005D1362" w14:paraId="2B96A145" w14:textId="77777777" w:rsidTr="003A6238">
        <w:tc>
          <w:tcPr>
            <w:tcW w:w="742" w:type="dxa"/>
            <w:shd w:val="clear" w:color="auto" w:fill="92D050"/>
          </w:tcPr>
          <w:p w14:paraId="28BBFA2F" w14:textId="77777777" w:rsidR="00E020E1" w:rsidRPr="005D1362" w:rsidRDefault="00E020E1" w:rsidP="0051554F">
            <w:pPr>
              <w:jc w:val="both"/>
            </w:pPr>
          </w:p>
        </w:tc>
        <w:tc>
          <w:tcPr>
            <w:tcW w:w="8320" w:type="dxa"/>
          </w:tcPr>
          <w:p w14:paraId="4E79A408" w14:textId="27FA1440" w:rsidR="00E020E1" w:rsidRPr="005D1362" w:rsidRDefault="00E020E1" w:rsidP="0051554F">
            <w:pPr>
              <w:jc w:val="both"/>
              <w:rPr>
                <w:sz w:val="24"/>
                <w:szCs w:val="24"/>
              </w:rPr>
            </w:pPr>
            <w:r w:rsidRPr="005D1362">
              <w:rPr>
                <w:sz w:val="24"/>
                <w:szCs w:val="24"/>
              </w:rPr>
              <w:t>Kohustada hankijat kontrollima ehitustööde riigihangetes alltöövõtja kõrvaldamise aluseid vaid juhul, kui tema osa hankelepingu täitmisel on suurem kui 10%. Alternatiivselt, kohustada väiksema osaga alltöövõtjaid kontrollima vaid siis, kui tekib kahtlus.</w:t>
            </w:r>
          </w:p>
        </w:tc>
      </w:tr>
      <w:tr w:rsidR="002E3F99" w:rsidRPr="005D1362" w14:paraId="59F19DF8" w14:textId="77777777" w:rsidTr="003A6238">
        <w:tc>
          <w:tcPr>
            <w:tcW w:w="742" w:type="dxa"/>
            <w:shd w:val="clear" w:color="auto" w:fill="92D050"/>
          </w:tcPr>
          <w:p w14:paraId="617C73D5" w14:textId="77777777" w:rsidR="002E3F99" w:rsidRPr="005D1362" w:rsidRDefault="002E3F99" w:rsidP="0051554F">
            <w:pPr>
              <w:jc w:val="both"/>
            </w:pPr>
          </w:p>
        </w:tc>
        <w:tc>
          <w:tcPr>
            <w:tcW w:w="8320" w:type="dxa"/>
          </w:tcPr>
          <w:p w14:paraId="7E7497D4" w14:textId="72A81448" w:rsidR="002E3F99" w:rsidRPr="005D1362" w:rsidRDefault="002E3F99" w:rsidP="0051554F">
            <w:pPr>
              <w:jc w:val="both"/>
              <w:rPr>
                <w:sz w:val="24"/>
                <w:szCs w:val="24"/>
              </w:rPr>
            </w:pPr>
            <w:r w:rsidRPr="005D1362">
              <w:rPr>
                <w:sz w:val="24"/>
                <w:szCs w:val="24"/>
              </w:rPr>
              <w:t>Muuta töövõtjale maksete peatamise õigus vabatahtlikuks.</w:t>
            </w:r>
          </w:p>
        </w:tc>
      </w:tr>
      <w:tr w:rsidR="00656130" w:rsidRPr="005D1362" w14:paraId="020203D9" w14:textId="77777777" w:rsidTr="003A6238">
        <w:tc>
          <w:tcPr>
            <w:tcW w:w="742" w:type="dxa"/>
            <w:shd w:val="clear" w:color="auto" w:fill="92D050"/>
          </w:tcPr>
          <w:p w14:paraId="6B211183" w14:textId="77777777" w:rsidR="00656130" w:rsidRPr="005D1362" w:rsidRDefault="00656130" w:rsidP="0051554F">
            <w:pPr>
              <w:jc w:val="both"/>
            </w:pPr>
          </w:p>
        </w:tc>
        <w:tc>
          <w:tcPr>
            <w:tcW w:w="8320" w:type="dxa"/>
          </w:tcPr>
          <w:p w14:paraId="6EA9C546" w14:textId="396B1252" w:rsidR="00656130" w:rsidRPr="005D1362" w:rsidRDefault="00656130" w:rsidP="0051554F">
            <w:pPr>
              <w:jc w:val="both"/>
            </w:pPr>
            <w:r w:rsidRPr="005D1362">
              <w:rPr>
                <w:sz w:val="24"/>
                <w:szCs w:val="24"/>
              </w:rPr>
              <w:t>Kohustada hankijat minikonkurssidel kontrollima kõrvaldamise aluste esinemist ainult siis, kui raamlepingu maksumus on vähemalt võrdne rahvusvahelise piirmääraga.</w:t>
            </w:r>
          </w:p>
        </w:tc>
      </w:tr>
    </w:tbl>
    <w:p w14:paraId="6253C2A9" w14:textId="77777777" w:rsidR="00A06A66" w:rsidRDefault="00A06A66" w:rsidP="00A06A66">
      <w:pPr>
        <w:jc w:val="both"/>
        <w:rPr>
          <w:rFonts w:ascii="Times New Roman" w:hAnsi="Times New Roman"/>
        </w:rPr>
      </w:pPr>
    </w:p>
    <w:p w14:paraId="1B1AFE14" w14:textId="77777777" w:rsidR="00A06A66" w:rsidRPr="005D1362" w:rsidRDefault="00A06A66" w:rsidP="000F432D">
      <w:pPr>
        <w:rPr>
          <w:rFonts w:ascii="Times New Roman" w:hAnsi="Times New Roman" w:cs="Times New Roman"/>
        </w:rPr>
      </w:pPr>
    </w:p>
    <w:sectPr w:rsidR="00A06A66" w:rsidRPr="005D13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5A60" w14:textId="77777777" w:rsidR="00020D4E" w:rsidRDefault="00020D4E" w:rsidP="00A06A66">
      <w:pPr>
        <w:spacing w:after="0" w:line="240" w:lineRule="auto"/>
      </w:pPr>
      <w:r>
        <w:separator/>
      </w:r>
    </w:p>
  </w:endnote>
  <w:endnote w:type="continuationSeparator" w:id="0">
    <w:p w14:paraId="03EF414C" w14:textId="77777777" w:rsidR="00020D4E" w:rsidRDefault="00020D4E" w:rsidP="00A06A66">
      <w:pPr>
        <w:spacing w:after="0" w:line="240" w:lineRule="auto"/>
      </w:pPr>
      <w:r>
        <w:continuationSeparator/>
      </w:r>
    </w:p>
  </w:endnote>
  <w:endnote w:type="continuationNotice" w:id="1">
    <w:p w14:paraId="3C8D9EA2" w14:textId="77777777" w:rsidR="00020D4E" w:rsidRDefault="00020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NTTimes/Cyrillic"/>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56CE" w14:textId="77777777" w:rsidR="00020D4E" w:rsidRDefault="00020D4E" w:rsidP="00A06A66">
      <w:pPr>
        <w:spacing w:after="0" w:line="240" w:lineRule="auto"/>
      </w:pPr>
      <w:r>
        <w:separator/>
      </w:r>
    </w:p>
  </w:footnote>
  <w:footnote w:type="continuationSeparator" w:id="0">
    <w:p w14:paraId="36D0716A" w14:textId="77777777" w:rsidR="00020D4E" w:rsidRDefault="00020D4E" w:rsidP="00A06A66">
      <w:pPr>
        <w:spacing w:after="0" w:line="240" w:lineRule="auto"/>
      </w:pPr>
      <w:r>
        <w:continuationSeparator/>
      </w:r>
    </w:p>
  </w:footnote>
  <w:footnote w:type="continuationNotice" w:id="1">
    <w:p w14:paraId="7418120B" w14:textId="77777777" w:rsidR="00020D4E" w:rsidRDefault="00020D4E">
      <w:pPr>
        <w:spacing w:after="0" w:line="240" w:lineRule="auto"/>
      </w:pPr>
    </w:p>
  </w:footnote>
  <w:footnote w:id="2">
    <w:p w14:paraId="2F1A2E8A" w14:textId="77777777" w:rsidR="00A06A66" w:rsidRPr="00AB23DA" w:rsidRDefault="00A06A66" w:rsidP="00A06A66">
      <w:pPr>
        <w:pStyle w:val="Allmrkusetekst"/>
        <w:rPr>
          <w:rFonts w:ascii="Times New Roman" w:hAnsi="Times New Roman"/>
        </w:rPr>
      </w:pPr>
      <w:r w:rsidRPr="00AB23DA">
        <w:rPr>
          <w:rStyle w:val="Allmrkuseviide"/>
          <w:rFonts w:ascii="Times New Roman" w:hAnsi="Times New Roman"/>
        </w:rPr>
        <w:footnoteRef/>
      </w:r>
      <w:r w:rsidRPr="00AB23DA">
        <w:rPr>
          <w:rFonts w:ascii="Times New Roman" w:hAnsi="Times New Roman"/>
        </w:rPr>
        <w:t xml:space="preserve"> Tabelist on ülevaatlikkuse huvides välja jäetud ideekonkursi riigihanke piirmäär 60 000 eurot.</w:t>
      </w:r>
    </w:p>
  </w:footnote>
  <w:footnote w:id="3">
    <w:p w14:paraId="1A782613" w14:textId="77777777" w:rsidR="00A06A66" w:rsidRPr="00AB23DA" w:rsidRDefault="00A06A66" w:rsidP="00A06A66">
      <w:pPr>
        <w:pStyle w:val="Allmrkusetekst"/>
        <w:rPr>
          <w:rFonts w:ascii="Times New Roman" w:hAnsi="Times New Roman"/>
        </w:rPr>
      </w:pPr>
      <w:r w:rsidRPr="00AB23DA">
        <w:rPr>
          <w:rStyle w:val="Allmrkuseviide"/>
          <w:rFonts w:ascii="Times New Roman" w:hAnsi="Times New Roman"/>
        </w:rPr>
        <w:footnoteRef/>
      </w:r>
      <w:r w:rsidRPr="00AB23DA">
        <w:rPr>
          <w:rFonts w:ascii="Times New Roman" w:hAnsi="Times New Roman"/>
        </w:rPr>
        <w:t xml:space="preserve"> Piirmäära suurus sõltub kontsessioonilepingu esemest.</w:t>
      </w:r>
    </w:p>
  </w:footnote>
  <w:footnote w:id="4">
    <w:p w14:paraId="0E595463" w14:textId="77777777" w:rsidR="00A06A66" w:rsidRDefault="00A06A66" w:rsidP="00A06A66">
      <w:pPr>
        <w:pStyle w:val="Allmrkusetekst"/>
        <w:jc w:val="both"/>
      </w:pPr>
      <w:r w:rsidRPr="00AB23DA">
        <w:rPr>
          <w:rStyle w:val="Allmrkuseviide"/>
          <w:rFonts w:ascii="Times New Roman" w:hAnsi="Times New Roman"/>
        </w:rPr>
        <w:footnoteRef/>
      </w:r>
      <w:r>
        <w:t xml:space="preserve"> </w:t>
      </w:r>
      <w:r w:rsidRPr="0038683A">
        <w:rPr>
          <w:rFonts w:ascii="Times New Roman" w:hAnsi="Times New Roman"/>
        </w:rPr>
        <w:t xml:space="preserve">Hangete kogumaksumus oli 2024. a </w:t>
      </w:r>
      <w:r>
        <w:rPr>
          <w:rFonts w:ascii="Times New Roman" w:hAnsi="Times New Roman"/>
        </w:rPr>
        <w:t xml:space="preserve"> ligi  5 mld eurot. </w:t>
      </w:r>
      <w:r w:rsidRPr="00B51271">
        <w:rPr>
          <w:rFonts w:ascii="Times New Roman" w:hAnsi="Times New Roman"/>
        </w:rPr>
        <w:t>Riigihanke piirmäära ületava, kuid alla rahvusvahelist piirmäära jäävate hangete tulemusel sõlmitud lepingute kogumaht oli</w:t>
      </w:r>
      <w:r>
        <w:rPr>
          <w:rFonts w:ascii="Times New Roman" w:hAnsi="Times New Roman"/>
        </w:rPr>
        <w:t xml:space="preserve"> </w:t>
      </w:r>
      <w:r w:rsidRPr="0038683A">
        <w:rPr>
          <w:rFonts w:ascii="Times New Roman" w:hAnsi="Times New Roman"/>
        </w:rPr>
        <w:t>526</w:t>
      </w:r>
      <w:r>
        <w:rPr>
          <w:rFonts w:ascii="Times New Roman" w:hAnsi="Times New Roman"/>
        </w:rPr>
        <w:t xml:space="preserve"> mln eurot. Statistikast on väljas kaitse- ja julgeoleku sektor, sest seal puudub juba praegu siseriiklik riigihanke piirmäär ning muudatus neid hankeid ei mõjutaks.</w:t>
      </w:r>
    </w:p>
  </w:footnote>
  <w:footnote w:id="5">
    <w:p w14:paraId="14071742" w14:textId="77777777" w:rsidR="00A06A66" w:rsidRPr="00DA5285" w:rsidRDefault="00A06A66" w:rsidP="00A06A66">
      <w:pPr>
        <w:pStyle w:val="Allmrkusetekst"/>
        <w:rPr>
          <w:rFonts w:ascii="Times New Roman" w:hAnsi="Times New Roman"/>
        </w:rPr>
      </w:pPr>
      <w:r w:rsidRPr="00DA5285">
        <w:rPr>
          <w:rStyle w:val="Allmrkuseviide"/>
          <w:rFonts w:ascii="Times New Roman" w:hAnsi="Times New Roman"/>
        </w:rPr>
        <w:footnoteRef/>
      </w:r>
      <w:r w:rsidRPr="00DA5285">
        <w:rPr>
          <w:rFonts w:ascii="Times New Roman" w:hAnsi="Times New Roman"/>
        </w:rPr>
        <w:t xml:space="preserve"> Alusandmetena on kasutatud Statistikaameti kodulehel avaldatud „Tarbijahinnaindeksi muutus“.</w:t>
      </w:r>
      <w:r>
        <w:rPr>
          <w:rFonts w:ascii="Times New Roman" w:hAnsi="Times New Roman"/>
        </w:rPr>
        <w:t xml:space="preserve"> </w:t>
      </w:r>
      <w:r w:rsidRPr="00DA5285">
        <w:rPr>
          <w:rFonts w:ascii="Times New Roman" w:hAnsi="Times New Roman"/>
        </w:rPr>
        <w:t xml:space="preserve">Tarbijahinnaindeksi muutus on võetud võrdluses aastatega 2017 (2018-2024). Leitav siit: </w:t>
      </w:r>
      <w:hyperlink r:id="rId1" w:history="1">
        <w:r w:rsidRPr="00DA5285">
          <w:rPr>
            <w:rStyle w:val="Hperlink"/>
            <w:rFonts w:ascii="Times New Roman" w:hAnsi="Times New Roman"/>
          </w:rPr>
          <w:t>https://stat.ee/et/avasta-statistikat/valdkonnad/rahandus/hinnad/tarbijahinnaindeks</w:t>
        </w:r>
      </w:hyperlink>
      <w:r>
        <w:rPr>
          <w:rFonts w:ascii="Times New Roman" w:hAnsi="Times New Roman"/>
        </w:rPr>
        <w:t xml:space="preserve"> 2025. ja 2026. aastate THI on arvestatud eelnevate aastate keskmisena, mis moodustab 7,55%.</w:t>
      </w:r>
    </w:p>
  </w:footnote>
  <w:footnote w:id="6">
    <w:p w14:paraId="6F1408C7" w14:textId="424A5A94" w:rsidR="00A06A66" w:rsidRDefault="00A06A66" w:rsidP="00A06A66">
      <w:pPr>
        <w:pStyle w:val="Allmrkusetekst"/>
      </w:pPr>
      <w:r>
        <w:rPr>
          <w:rStyle w:val="Allmrkuseviide"/>
        </w:rPr>
        <w:footnoteRef/>
      </w:r>
      <w:r w:rsidR="39272936">
        <w:t xml:space="preserve"> </w:t>
      </w:r>
      <w:r w:rsidR="39272936" w:rsidRPr="00DA5285">
        <w:rPr>
          <w:rFonts w:ascii="Times New Roman" w:hAnsi="Times New Roman"/>
        </w:rPr>
        <w:t xml:space="preserve">Lihthankemenetluses on kehtiva korra kohaselt vabatahtlike kõrvaldamisaluste kasutamine juba praegu vaba. Perioodil 01.08.2019 kuni 31.12.2024 korraldatud </w:t>
      </w:r>
      <w:r w:rsidR="39272936" w:rsidRPr="0065664D">
        <w:rPr>
          <w:rFonts w:ascii="Times New Roman" w:hAnsi="Times New Roman"/>
        </w:rPr>
        <w:t>14</w:t>
      </w:r>
      <w:r w:rsidR="39272936">
        <w:rPr>
          <w:rFonts w:ascii="Times New Roman" w:hAnsi="Times New Roman"/>
        </w:rPr>
        <w:t> </w:t>
      </w:r>
      <w:r w:rsidR="39272936" w:rsidRPr="0065664D">
        <w:rPr>
          <w:rFonts w:ascii="Times New Roman" w:hAnsi="Times New Roman"/>
        </w:rPr>
        <w:t>712</w:t>
      </w:r>
      <w:r w:rsidR="39272936">
        <w:rPr>
          <w:rFonts w:ascii="Times New Roman" w:hAnsi="Times New Roman"/>
        </w:rPr>
        <w:t>-s</w:t>
      </w:r>
      <w:r w:rsidR="39272936" w:rsidRPr="0065664D">
        <w:rPr>
          <w:rFonts w:ascii="Times New Roman" w:hAnsi="Times New Roman"/>
        </w:rPr>
        <w:t xml:space="preserve"> </w:t>
      </w:r>
      <w:r w:rsidR="39272936" w:rsidRPr="00DA5285">
        <w:rPr>
          <w:rFonts w:ascii="Times New Roman" w:hAnsi="Times New Roman"/>
        </w:rPr>
        <w:t>lihthankemenetluses kasutati vabatahtlikke kõrvaldamisaluseid ligikaudu 15% juhtudest.</w:t>
      </w:r>
      <w:r w:rsidR="39272936">
        <w:rPr>
          <w:rFonts w:ascii="Times New Roman" w:hAnsi="Times New Roman"/>
        </w:rPr>
        <w:t xml:space="preserve"> Riigihanke piirmäära ületavates hangetes aga kohustuslik. 202</w:t>
      </w:r>
      <w:r w:rsidR="39272936" w:rsidRPr="7C9B2611">
        <w:rPr>
          <w:rFonts w:ascii="Times New Roman" w:hAnsi="Times New Roman"/>
        </w:rPr>
        <w:t>4</w:t>
      </w:r>
      <w:r w:rsidR="39272936">
        <w:rPr>
          <w:rFonts w:ascii="Times New Roman" w:hAnsi="Times New Roman"/>
        </w:rPr>
        <w:t xml:space="preserve">. aasta andmetel hõlmaks muudatus </w:t>
      </w:r>
      <w:r w:rsidR="39272936" w:rsidRPr="7C9B2611">
        <w:rPr>
          <w:rFonts w:ascii="Times New Roman" w:hAnsi="Times New Roman"/>
        </w:rPr>
        <w:t>2590</w:t>
      </w:r>
      <w:r w:rsidR="39272936">
        <w:rPr>
          <w:rFonts w:ascii="Times New Roman" w:hAnsi="Times New Roman"/>
        </w:rPr>
        <w:t xml:space="preserve"> siseriiklikku avatud hankemenetlust, kokku maksumusega </w:t>
      </w:r>
      <w:r w:rsidR="39272936" w:rsidRPr="39272936">
        <w:rPr>
          <w:rFonts w:ascii="Times New Roman" w:hAnsi="Times New Roman"/>
        </w:rPr>
        <w:t>616</w:t>
      </w:r>
      <w:r w:rsidR="39272936">
        <w:rPr>
          <w:rFonts w:ascii="Times New Roman" w:hAnsi="Times New Roman"/>
        </w:rPr>
        <w:t xml:space="preserve"> miljonit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D1342"/>
    <w:multiLevelType w:val="hybridMultilevel"/>
    <w:tmpl w:val="D83C0858"/>
    <w:lvl w:ilvl="0" w:tplc="04250001">
      <w:start w:val="1"/>
      <w:numFmt w:val="bullet"/>
      <w:lvlText w:val=""/>
      <w:lvlJc w:val="left"/>
      <w:pPr>
        <w:ind w:left="5033" w:hanging="360"/>
      </w:pPr>
      <w:rPr>
        <w:rFonts w:ascii="Symbol" w:hAnsi="Symbol" w:hint="default"/>
      </w:rPr>
    </w:lvl>
    <w:lvl w:ilvl="1" w:tplc="04250003" w:tentative="1">
      <w:start w:val="1"/>
      <w:numFmt w:val="bullet"/>
      <w:lvlText w:val="o"/>
      <w:lvlJc w:val="left"/>
      <w:pPr>
        <w:ind w:left="5753" w:hanging="360"/>
      </w:pPr>
      <w:rPr>
        <w:rFonts w:ascii="Courier New" w:hAnsi="Courier New" w:cs="Courier New" w:hint="default"/>
      </w:rPr>
    </w:lvl>
    <w:lvl w:ilvl="2" w:tplc="04250005" w:tentative="1">
      <w:start w:val="1"/>
      <w:numFmt w:val="bullet"/>
      <w:lvlText w:val=""/>
      <w:lvlJc w:val="left"/>
      <w:pPr>
        <w:ind w:left="6473" w:hanging="360"/>
      </w:pPr>
      <w:rPr>
        <w:rFonts w:ascii="Wingdings" w:hAnsi="Wingdings" w:hint="default"/>
      </w:rPr>
    </w:lvl>
    <w:lvl w:ilvl="3" w:tplc="04250001" w:tentative="1">
      <w:start w:val="1"/>
      <w:numFmt w:val="bullet"/>
      <w:lvlText w:val=""/>
      <w:lvlJc w:val="left"/>
      <w:pPr>
        <w:ind w:left="7193" w:hanging="360"/>
      </w:pPr>
      <w:rPr>
        <w:rFonts w:ascii="Symbol" w:hAnsi="Symbol" w:hint="default"/>
      </w:rPr>
    </w:lvl>
    <w:lvl w:ilvl="4" w:tplc="04250003" w:tentative="1">
      <w:start w:val="1"/>
      <w:numFmt w:val="bullet"/>
      <w:lvlText w:val="o"/>
      <w:lvlJc w:val="left"/>
      <w:pPr>
        <w:ind w:left="7913" w:hanging="360"/>
      </w:pPr>
      <w:rPr>
        <w:rFonts w:ascii="Courier New" w:hAnsi="Courier New" w:cs="Courier New" w:hint="default"/>
      </w:rPr>
    </w:lvl>
    <w:lvl w:ilvl="5" w:tplc="04250005" w:tentative="1">
      <w:start w:val="1"/>
      <w:numFmt w:val="bullet"/>
      <w:lvlText w:val=""/>
      <w:lvlJc w:val="left"/>
      <w:pPr>
        <w:ind w:left="8633" w:hanging="360"/>
      </w:pPr>
      <w:rPr>
        <w:rFonts w:ascii="Wingdings" w:hAnsi="Wingdings" w:hint="default"/>
      </w:rPr>
    </w:lvl>
    <w:lvl w:ilvl="6" w:tplc="04250001" w:tentative="1">
      <w:start w:val="1"/>
      <w:numFmt w:val="bullet"/>
      <w:lvlText w:val=""/>
      <w:lvlJc w:val="left"/>
      <w:pPr>
        <w:ind w:left="9353" w:hanging="360"/>
      </w:pPr>
      <w:rPr>
        <w:rFonts w:ascii="Symbol" w:hAnsi="Symbol" w:hint="default"/>
      </w:rPr>
    </w:lvl>
    <w:lvl w:ilvl="7" w:tplc="04250003" w:tentative="1">
      <w:start w:val="1"/>
      <w:numFmt w:val="bullet"/>
      <w:lvlText w:val="o"/>
      <w:lvlJc w:val="left"/>
      <w:pPr>
        <w:ind w:left="10073" w:hanging="360"/>
      </w:pPr>
      <w:rPr>
        <w:rFonts w:ascii="Courier New" w:hAnsi="Courier New" w:cs="Courier New" w:hint="default"/>
      </w:rPr>
    </w:lvl>
    <w:lvl w:ilvl="8" w:tplc="04250005" w:tentative="1">
      <w:start w:val="1"/>
      <w:numFmt w:val="bullet"/>
      <w:lvlText w:val=""/>
      <w:lvlJc w:val="left"/>
      <w:pPr>
        <w:ind w:left="10793" w:hanging="360"/>
      </w:pPr>
      <w:rPr>
        <w:rFonts w:ascii="Wingdings" w:hAnsi="Wingdings" w:hint="default"/>
      </w:rPr>
    </w:lvl>
  </w:abstractNum>
  <w:abstractNum w:abstractNumId="1" w15:restartNumberingAfterBreak="0">
    <w:nsid w:val="25B6707B"/>
    <w:multiLevelType w:val="hybridMultilevel"/>
    <w:tmpl w:val="F2D68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1117B9"/>
    <w:multiLevelType w:val="multilevel"/>
    <w:tmpl w:val="AE64E91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5E32654"/>
    <w:multiLevelType w:val="hybridMultilevel"/>
    <w:tmpl w:val="4106E8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73C5DF1"/>
    <w:multiLevelType w:val="hybridMultilevel"/>
    <w:tmpl w:val="73EA56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61837148">
    <w:abstractNumId w:val="4"/>
  </w:num>
  <w:num w:numId="2" w16cid:durableId="351614937">
    <w:abstractNumId w:val="2"/>
  </w:num>
  <w:num w:numId="3" w16cid:durableId="1841894936">
    <w:abstractNumId w:val="3"/>
  </w:num>
  <w:num w:numId="4" w16cid:durableId="2115055212">
    <w:abstractNumId w:val="0"/>
  </w:num>
  <w:num w:numId="5" w16cid:durableId="177802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B6"/>
    <w:rsid w:val="00010BA9"/>
    <w:rsid w:val="00013B21"/>
    <w:rsid w:val="0001594E"/>
    <w:rsid w:val="00020D4E"/>
    <w:rsid w:val="000275F7"/>
    <w:rsid w:val="00031A72"/>
    <w:rsid w:val="00032682"/>
    <w:rsid w:val="00032906"/>
    <w:rsid w:val="00035F00"/>
    <w:rsid w:val="00035F70"/>
    <w:rsid w:val="00040F49"/>
    <w:rsid w:val="00044DC0"/>
    <w:rsid w:val="00050AAA"/>
    <w:rsid w:val="00050F90"/>
    <w:rsid w:val="00051028"/>
    <w:rsid w:val="000547BC"/>
    <w:rsid w:val="000553CD"/>
    <w:rsid w:val="0006750A"/>
    <w:rsid w:val="000679CF"/>
    <w:rsid w:val="00076F2E"/>
    <w:rsid w:val="00085983"/>
    <w:rsid w:val="000902E6"/>
    <w:rsid w:val="00093DFC"/>
    <w:rsid w:val="00094FD7"/>
    <w:rsid w:val="000963D9"/>
    <w:rsid w:val="000A149F"/>
    <w:rsid w:val="000A2B2F"/>
    <w:rsid w:val="000A33AC"/>
    <w:rsid w:val="000A35A3"/>
    <w:rsid w:val="000B1AF5"/>
    <w:rsid w:val="000B4784"/>
    <w:rsid w:val="000D0C39"/>
    <w:rsid w:val="000D38AA"/>
    <w:rsid w:val="000D3D59"/>
    <w:rsid w:val="000E4FD4"/>
    <w:rsid w:val="000F152F"/>
    <w:rsid w:val="000F182C"/>
    <w:rsid w:val="000F398C"/>
    <w:rsid w:val="000F4153"/>
    <w:rsid w:val="000F432D"/>
    <w:rsid w:val="00102B7E"/>
    <w:rsid w:val="001068CE"/>
    <w:rsid w:val="0011054D"/>
    <w:rsid w:val="00115260"/>
    <w:rsid w:val="00115982"/>
    <w:rsid w:val="001212A7"/>
    <w:rsid w:val="00122EF7"/>
    <w:rsid w:val="001307F2"/>
    <w:rsid w:val="00131559"/>
    <w:rsid w:val="00131C82"/>
    <w:rsid w:val="001353CB"/>
    <w:rsid w:val="001412F8"/>
    <w:rsid w:val="001530D3"/>
    <w:rsid w:val="00166F43"/>
    <w:rsid w:val="001701D4"/>
    <w:rsid w:val="001840A6"/>
    <w:rsid w:val="00185EB1"/>
    <w:rsid w:val="001A1190"/>
    <w:rsid w:val="001A190F"/>
    <w:rsid w:val="001A1929"/>
    <w:rsid w:val="001A346D"/>
    <w:rsid w:val="001A53D3"/>
    <w:rsid w:val="001A64C0"/>
    <w:rsid w:val="001B4B2B"/>
    <w:rsid w:val="001D5A1C"/>
    <w:rsid w:val="001E611F"/>
    <w:rsid w:val="001F3E0E"/>
    <w:rsid w:val="001F4376"/>
    <w:rsid w:val="002032EA"/>
    <w:rsid w:val="00206E30"/>
    <w:rsid w:val="00214689"/>
    <w:rsid w:val="002219DE"/>
    <w:rsid w:val="002322D2"/>
    <w:rsid w:val="00260B9D"/>
    <w:rsid w:val="002624C8"/>
    <w:rsid w:val="00262D79"/>
    <w:rsid w:val="00263595"/>
    <w:rsid w:val="002706BA"/>
    <w:rsid w:val="00272526"/>
    <w:rsid w:val="00280CEA"/>
    <w:rsid w:val="00286609"/>
    <w:rsid w:val="002926F7"/>
    <w:rsid w:val="00294BA1"/>
    <w:rsid w:val="002968DE"/>
    <w:rsid w:val="002B1FA8"/>
    <w:rsid w:val="002B2DFB"/>
    <w:rsid w:val="002C5EB5"/>
    <w:rsid w:val="002D0701"/>
    <w:rsid w:val="002D2737"/>
    <w:rsid w:val="002D563D"/>
    <w:rsid w:val="002E3F99"/>
    <w:rsid w:val="002F0D7C"/>
    <w:rsid w:val="00324B18"/>
    <w:rsid w:val="00325AE6"/>
    <w:rsid w:val="00331612"/>
    <w:rsid w:val="00331A3E"/>
    <w:rsid w:val="00335F49"/>
    <w:rsid w:val="00354663"/>
    <w:rsid w:val="0036440F"/>
    <w:rsid w:val="00375BE9"/>
    <w:rsid w:val="0037639C"/>
    <w:rsid w:val="00377C78"/>
    <w:rsid w:val="00386455"/>
    <w:rsid w:val="00387600"/>
    <w:rsid w:val="0039661F"/>
    <w:rsid w:val="003A0C8C"/>
    <w:rsid w:val="003A3F3C"/>
    <w:rsid w:val="003A6238"/>
    <w:rsid w:val="003A7C69"/>
    <w:rsid w:val="003B70AD"/>
    <w:rsid w:val="003C0FF0"/>
    <w:rsid w:val="003C58A8"/>
    <w:rsid w:val="003D2B8C"/>
    <w:rsid w:val="003E04A6"/>
    <w:rsid w:val="003F516F"/>
    <w:rsid w:val="00400525"/>
    <w:rsid w:val="0040331D"/>
    <w:rsid w:val="00403C38"/>
    <w:rsid w:val="004242C1"/>
    <w:rsid w:val="004265EC"/>
    <w:rsid w:val="00432EBB"/>
    <w:rsid w:val="00433BF2"/>
    <w:rsid w:val="004410B6"/>
    <w:rsid w:val="00454DED"/>
    <w:rsid w:val="00461D7C"/>
    <w:rsid w:val="004838BF"/>
    <w:rsid w:val="004859F3"/>
    <w:rsid w:val="0049713C"/>
    <w:rsid w:val="004A20ED"/>
    <w:rsid w:val="004A7F20"/>
    <w:rsid w:val="004B267D"/>
    <w:rsid w:val="004B37E1"/>
    <w:rsid w:val="004B71EC"/>
    <w:rsid w:val="004C6FE5"/>
    <w:rsid w:val="004E597C"/>
    <w:rsid w:val="004F1055"/>
    <w:rsid w:val="004F1B6A"/>
    <w:rsid w:val="004F423B"/>
    <w:rsid w:val="004F76DE"/>
    <w:rsid w:val="00500277"/>
    <w:rsid w:val="005106C8"/>
    <w:rsid w:val="00511A04"/>
    <w:rsid w:val="0051554F"/>
    <w:rsid w:val="00522E8E"/>
    <w:rsid w:val="00523451"/>
    <w:rsid w:val="00524753"/>
    <w:rsid w:val="00524904"/>
    <w:rsid w:val="00540302"/>
    <w:rsid w:val="00546DB1"/>
    <w:rsid w:val="00552995"/>
    <w:rsid w:val="0055344A"/>
    <w:rsid w:val="00557331"/>
    <w:rsid w:val="0056056D"/>
    <w:rsid w:val="005622F0"/>
    <w:rsid w:val="005654B7"/>
    <w:rsid w:val="005718A7"/>
    <w:rsid w:val="00571DF5"/>
    <w:rsid w:val="00574025"/>
    <w:rsid w:val="00586D00"/>
    <w:rsid w:val="0059595F"/>
    <w:rsid w:val="005B4A5B"/>
    <w:rsid w:val="005B70EB"/>
    <w:rsid w:val="005C2D1F"/>
    <w:rsid w:val="005D1362"/>
    <w:rsid w:val="005D50BA"/>
    <w:rsid w:val="005E33D8"/>
    <w:rsid w:val="005E5A66"/>
    <w:rsid w:val="00603F9C"/>
    <w:rsid w:val="00605B0E"/>
    <w:rsid w:val="0061502E"/>
    <w:rsid w:val="00616288"/>
    <w:rsid w:val="0063425E"/>
    <w:rsid w:val="00656130"/>
    <w:rsid w:val="00665195"/>
    <w:rsid w:val="00681D1B"/>
    <w:rsid w:val="00683B85"/>
    <w:rsid w:val="00685B4E"/>
    <w:rsid w:val="00690234"/>
    <w:rsid w:val="006939AE"/>
    <w:rsid w:val="00694CAB"/>
    <w:rsid w:val="00696615"/>
    <w:rsid w:val="00697D57"/>
    <w:rsid w:val="006A1504"/>
    <w:rsid w:val="006A6D73"/>
    <w:rsid w:val="006C4810"/>
    <w:rsid w:val="006E7FCF"/>
    <w:rsid w:val="007274CB"/>
    <w:rsid w:val="007339AE"/>
    <w:rsid w:val="0073631E"/>
    <w:rsid w:val="007378DC"/>
    <w:rsid w:val="00741964"/>
    <w:rsid w:val="0074364B"/>
    <w:rsid w:val="007454D6"/>
    <w:rsid w:val="0075222F"/>
    <w:rsid w:val="00756E6F"/>
    <w:rsid w:val="0076053F"/>
    <w:rsid w:val="00761EB0"/>
    <w:rsid w:val="00771098"/>
    <w:rsid w:val="0077759E"/>
    <w:rsid w:val="00791DDE"/>
    <w:rsid w:val="007943DC"/>
    <w:rsid w:val="007A520D"/>
    <w:rsid w:val="007A6601"/>
    <w:rsid w:val="007B5C9A"/>
    <w:rsid w:val="007C26CA"/>
    <w:rsid w:val="007C4017"/>
    <w:rsid w:val="007D2948"/>
    <w:rsid w:val="007D3D31"/>
    <w:rsid w:val="007D6B7F"/>
    <w:rsid w:val="007F7039"/>
    <w:rsid w:val="00800E0F"/>
    <w:rsid w:val="00803772"/>
    <w:rsid w:val="00805B8F"/>
    <w:rsid w:val="00810F84"/>
    <w:rsid w:val="0083388D"/>
    <w:rsid w:val="008414D4"/>
    <w:rsid w:val="00844062"/>
    <w:rsid w:val="008568D9"/>
    <w:rsid w:val="008620AA"/>
    <w:rsid w:val="00872134"/>
    <w:rsid w:val="0087712F"/>
    <w:rsid w:val="00877A2A"/>
    <w:rsid w:val="00880176"/>
    <w:rsid w:val="00893BCF"/>
    <w:rsid w:val="008A0DD5"/>
    <w:rsid w:val="008A2239"/>
    <w:rsid w:val="008A7489"/>
    <w:rsid w:val="008B2213"/>
    <w:rsid w:val="008E4D6B"/>
    <w:rsid w:val="008F24D7"/>
    <w:rsid w:val="008F5584"/>
    <w:rsid w:val="0090629A"/>
    <w:rsid w:val="00910307"/>
    <w:rsid w:val="00911B1F"/>
    <w:rsid w:val="0091604A"/>
    <w:rsid w:val="009200B5"/>
    <w:rsid w:val="00922B3B"/>
    <w:rsid w:val="00923D96"/>
    <w:rsid w:val="00925CB2"/>
    <w:rsid w:val="0094111A"/>
    <w:rsid w:val="0095359E"/>
    <w:rsid w:val="00953BB3"/>
    <w:rsid w:val="00960884"/>
    <w:rsid w:val="009666A4"/>
    <w:rsid w:val="00980853"/>
    <w:rsid w:val="00980DB5"/>
    <w:rsid w:val="009812EC"/>
    <w:rsid w:val="0099536C"/>
    <w:rsid w:val="009A0F48"/>
    <w:rsid w:val="009A1A30"/>
    <w:rsid w:val="009A4E2C"/>
    <w:rsid w:val="009B198F"/>
    <w:rsid w:val="009B2D8C"/>
    <w:rsid w:val="009B3A17"/>
    <w:rsid w:val="009C3241"/>
    <w:rsid w:val="009D125A"/>
    <w:rsid w:val="009E0C84"/>
    <w:rsid w:val="009E1819"/>
    <w:rsid w:val="009E75A1"/>
    <w:rsid w:val="00A050C3"/>
    <w:rsid w:val="00A06A66"/>
    <w:rsid w:val="00A072C0"/>
    <w:rsid w:val="00A075DD"/>
    <w:rsid w:val="00A14900"/>
    <w:rsid w:val="00A1511B"/>
    <w:rsid w:val="00A211ED"/>
    <w:rsid w:val="00A33E75"/>
    <w:rsid w:val="00A436C1"/>
    <w:rsid w:val="00A43BFD"/>
    <w:rsid w:val="00A52209"/>
    <w:rsid w:val="00A628D5"/>
    <w:rsid w:val="00A84AD5"/>
    <w:rsid w:val="00A97651"/>
    <w:rsid w:val="00AB5E79"/>
    <w:rsid w:val="00AC07ED"/>
    <w:rsid w:val="00AC3960"/>
    <w:rsid w:val="00AC3DA6"/>
    <w:rsid w:val="00AD4CAD"/>
    <w:rsid w:val="00AE2D9F"/>
    <w:rsid w:val="00AE3B75"/>
    <w:rsid w:val="00AE4D9F"/>
    <w:rsid w:val="00AE6BD0"/>
    <w:rsid w:val="00AF0718"/>
    <w:rsid w:val="00B01A70"/>
    <w:rsid w:val="00B0542D"/>
    <w:rsid w:val="00B102D8"/>
    <w:rsid w:val="00B12ABF"/>
    <w:rsid w:val="00B1727B"/>
    <w:rsid w:val="00B178C0"/>
    <w:rsid w:val="00B24F38"/>
    <w:rsid w:val="00B253B1"/>
    <w:rsid w:val="00B314C0"/>
    <w:rsid w:val="00B34A2B"/>
    <w:rsid w:val="00B36CEC"/>
    <w:rsid w:val="00B3751B"/>
    <w:rsid w:val="00B37C32"/>
    <w:rsid w:val="00B37C77"/>
    <w:rsid w:val="00B37D81"/>
    <w:rsid w:val="00B37DE0"/>
    <w:rsid w:val="00B41973"/>
    <w:rsid w:val="00B423E9"/>
    <w:rsid w:val="00B46B3C"/>
    <w:rsid w:val="00B517E5"/>
    <w:rsid w:val="00B5406F"/>
    <w:rsid w:val="00B62C85"/>
    <w:rsid w:val="00B7470C"/>
    <w:rsid w:val="00B8205D"/>
    <w:rsid w:val="00B862FC"/>
    <w:rsid w:val="00BA776D"/>
    <w:rsid w:val="00BC29F9"/>
    <w:rsid w:val="00BD0C4B"/>
    <w:rsid w:val="00BD4CCB"/>
    <w:rsid w:val="00BD70FA"/>
    <w:rsid w:val="00BE63F1"/>
    <w:rsid w:val="00BF0DF7"/>
    <w:rsid w:val="00C0246A"/>
    <w:rsid w:val="00C0590A"/>
    <w:rsid w:val="00C06994"/>
    <w:rsid w:val="00C10B1F"/>
    <w:rsid w:val="00C22796"/>
    <w:rsid w:val="00C308AE"/>
    <w:rsid w:val="00C30FB9"/>
    <w:rsid w:val="00C33FD5"/>
    <w:rsid w:val="00C360E1"/>
    <w:rsid w:val="00C4639E"/>
    <w:rsid w:val="00C47101"/>
    <w:rsid w:val="00C508BD"/>
    <w:rsid w:val="00C517E6"/>
    <w:rsid w:val="00C65DF3"/>
    <w:rsid w:val="00C723E4"/>
    <w:rsid w:val="00C81239"/>
    <w:rsid w:val="00C847C1"/>
    <w:rsid w:val="00C85DA1"/>
    <w:rsid w:val="00C90729"/>
    <w:rsid w:val="00C9439C"/>
    <w:rsid w:val="00C96D7F"/>
    <w:rsid w:val="00CA00D9"/>
    <w:rsid w:val="00CA1B9C"/>
    <w:rsid w:val="00CC10C7"/>
    <w:rsid w:val="00CC125C"/>
    <w:rsid w:val="00CC37A6"/>
    <w:rsid w:val="00CC4448"/>
    <w:rsid w:val="00CC721A"/>
    <w:rsid w:val="00CD2BA4"/>
    <w:rsid w:val="00CE4159"/>
    <w:rsid w:val="00CF0231"/>
    <w:rsid w:val="00CF4D82"/>
    <w:rsid w:val="00CF7590"/>
    <w:rsid w:val="00D0130C"/>
    <w:rsid w:val="00D02BC6"/>
    <w:rsid w:val="00D031F8"/>
    <w:rsid w:val="00D0710C"/>
    <w:rsid w:val="00D125F6"/>
    <w:rsid w:val="00D13E5C"/>
    <w:rsid w:val="00D14A13"/>
    <w:rsid w:val="00D16E2C"/>
    <w:rsid w:val="00D170B3"/>
    <w:rsid w:val="00D174C8"/>
    <w:rsid w:val="00D20FA0"/>
    <w:rsid w:val="00D218C1"/>
    <w:rsid w:val="00D25899"/>
    <w:rsid w:val="00D453DF"/>
    <w:rsid w:val="00D45EFD"/>
    <w:rsid w:val="00D5026D"/>
    <w:rsid w:val="00D54DCD"/>
    <w:rsid w:val="00D56226"/>
    <w:rsid w:val="00D6368E"/>
    <w:rsid w:val="00D729A6"/>
    <w:rsid w:val="00D746FD"/>
    <w:rsid w:val="00D75972"/>
    <w:rsid w:val="00D80B91"/>
    <w:rsid w:val="00D90382"/>
    <w:rsid w:val="00D92AA3"/>
    <w:rsid w:val="00D937A2"/>
    <w:rsid w:val="00DA3FFD"/>
    <w:rsid w:val="00DA5BBF"/>
    <w:rsid w:val="00DB1511"/>
    <w:rsid w:val="00DB33E7"/>
    <w:rsid w:val="00DB694A"/>
    <w:rsid w:val="00DD560D"/>
    <w:rsid w:val="00DE0A8F"/>
    <w:rsid w:val="00DE4A3D"/>
    <w:rsid w:val="00DF38D7"/>
    <w:rsid w:val="00E020E1"/>
    <w:rsid w:val="00E02349"/>
    <w:rsid w:val="00E15069"/>
    <w:rsid w:val="00E32E66"/>
    <w:rsid w:val="00E36AA4"/>
    <w:rsid w:val="00E416CC"/>
    <w:rsid w:val="00E427F4"/>
    <w:rsid w:val="00E50466"/>
    <w:rsid w:val="00E80BF6"/>
    <w:rsid w:val="00E83216"/>
    <w:rsid w:val="00E83DD4"/>
    <w:rsid w:val="00E86905"/>
    <w:rsid w:val="00EA3C0F"/>
    <w:rsid w:val="00EB2E9B"/>
    <w:rsid w:val="00ED2034"/>
    <w:rsid w:val="00ED3200"/>
    <w:rsid w:val="00ED597C"/>
    <w:rsid w:val="00ED6362"/>
    <w:rsid w:val="00EE0781"/>
    <w:rsid w:val="00EE3F4F"/>
    <w:rsid w:val="00EE4B02"/>
    <w:rsid w:val="00EE5655"/>
    <w:rsid w:val="00EE6E23"/>
    <w:rsid w:val="00EF44A3"/>
    <w:rsid w:val="00F009FB"/>
    <w:rsid w:val="00F018A2"/>
    <w:rsid w:val="00F02E07"/>
    <w:rsid w:val="00F06A02"/>
    <w:rsid w:val="00F108F6"/>
    <w:rsid w:val="00F16ADB"/>
    <w:rsid w:val="00F24D3C"/>
    <w:rsid w:val="00F25705"/>
    <w:rsid w:val="00F257A9"/>
    <w:rsid w:val="00F30267"/>
    <w:rsid w:val="00F3516F"/>
    <w:rsid w:val="00F3637E"/>
    <w:rsid w:val="00F37D59"/>
    <w:rsid w:val="00F45638"/>
    <w:rsid w:val="00F55D66"/>
    <w:rsid w:val="00F778BD"/>
    <w:rsid w:val="00F90436"/>
    <w:rsid w:val="00F979D3"/>
    <w:rsid w:val="00FA17A4"/>
    <w:rsid w:val="00FA6C64"/>
    <w:rsid w:val="00FB1FFE"/>
    <w:rsid w:val="00FC3DE5"/>
    <w:rsid w:val="00FC5E6B"/>
    <w:rsid w:val="00FD13DA"/>
    <w:rsid w:val="00FD35B9"/>
    <w:rsid w:val="00FE45C5"/>
    <w:rsid w:val="00FF1D10"/>
    <w:rsid w:val="00FF2435"/>
    <w:rsid w:val="00FF26B5"/>
    <w:rsid w:val="00FF388E"/>
    <w:rsid w:val="024909C1"/>
    <w:rsid w:val="047749C5"/>
    <w:rsid w:val="05D57797"/>
    <w:rsid w:val="06278600"/>
    <w:rsid w:val="0698B200"/>
    <w:rsid w:val="07392C4E"/>
    <w:rsid w:val="07810EE6"/>
    <w:rsid w:val="07F35A65"/>
    <w:rsid w:val="0833E130"/>
    <w:rsid w:val="088FAC11"/>
    <w:rsid w:val="09883EE4"/>
    <w:rsid w:val="0B2E9737"/>
    <w:rsid w:val="0BDCE0F9"/>
    <w:rsid w:val="0E610AA5"/>
    <w:rsid w:val="0EB76262"/>
    <w:rsid w:val="0F76C6CF"/>
    <w:rsid w:val="109182AC"/>
    <w:rsid w:val="10C8D876"/>
    <w:rsid w:val="12D1E6E3"/>
    <w:rsid w:val="13FF554B"/>
    <w:rsid w:val="1438C26F"/>
    <w:rsid w:val="1D566511"/>
    <w:rsid w:val="1EDE5D10"/>
    <w:rsid w:val="20BDD56D"/>
    <w:rsid w:val="24F5474A"/>
    <w:rsid w:val="25B08C2E"/>
    <w:rsid w:val="26433135"/>
    <w:rsid w:val="26EA1255"/>
    <w:rsid w:val="26FB982A"/>
    <w:rsid w:val="271FB7B5"/>
    <w:rsid w:val="29495DEB"/>
    <w:rsid w:val="294AEC46"/>
    <w:rsid w:val="2A188819"/>
    <w:rsid w:val="2A8BED4A"/>
    <w:rsid w:val="2B01B5B8"/>
    <w:rsid w:val="2C9B4352"/>
    <w:rsid w:val="2E0637B8"/>
    <w:rsid w:val="30007E6F"/>
    <w:rsid w:val="32D4382C"/>
    <w:rsid w:val="33AAEE74"/>
    <w:rsid w:val="35B38DE7"/>
    <w:rsid w:val="36ECFD33"/>
    <w:rsid w:val="383517DC"/>
    <w:rsid w:val="38E9470A"/>
    <w:rsid w:val="39272936"/>
    <w:rsid w:val="3B16882B"/>
    <w:rsid w:val="3B43060B"/>
    <w:rsid w:val="3D3DDB79"/>
    <w:rsid w:val="3DB650E9"/>
    <w:rsid w:val="3DFFFE30"/>
    <w:rsid w:val="3F9081F6"/>
    <w:rsid w:val="448CE5E3"/>
    <w:rsid w:val="49F0903E"/>
    <w:rsid w:val="4AFF7F7C"/>
    <w:rsid w:val="4BBDECA4"/>
    <w:rsid w:val="4D519000"/>
    <w:rsid w:val="4FA4CE5B"/>
    <w:rsid w:val="50360B27"/>
    <w:rsid w:val="5489C0B6"/>
    <w:rsid w:val="572CA4AD"/>
    <w:rsid w:val="5913E510"/>
    <w:rsid w:val="5BC4B253"/>
    <w:rsid w:val="5DAD2C3B"/>
    <w:rsid w:val="5FD5BB50"/>
    <w:rsid w:val="6614D47D"/>
    <w:rsid w:val="6762F46A"/>
    <w:rsid w:val="6A302B6B"/>
    <w:rsid w:val="6CBEF41D"/>
    <w:rsid w:val="6E6AB9BB"/>
    <w:rsid w:val="7393BEC7"/>
    <w:rsid w:val="7985FA2E"/>
    <w:rsid w:val="7B67ED2A"/>
    <w:rsid w:val="7C9B2611"/>
    <w:rsid w:val="7E5717C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450D"/>
  <w15:chartTrackingRefBased/>
  <w15:docId w15:val="{743E9537-1CA4-40B0-B95F-6FCA829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41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41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410B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410B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410B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410B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410B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410B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410B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410B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410B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410B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410B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410B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410B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410B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410B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410B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41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410B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410B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410B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410B6"/>
    <w:pPr>
      <w:spacing w:before="160"/>
      <w:jc w:val="center"/>
    </w:pPr>
    <w:rPr>
      <w:i/>
      <w:iCs/>
      <w:color w:val="404040" w:themeColor="text1" w:themeTint="BF"/>
    </w:rPr>
  </w:style>
  <w:style w:type="character" w:customStyle="1" w:styleId="TsitaatMrk">
    <w:name w:val="Tsitaat Märk"/>
    <w:basedOn w:val="Liguvaikefont"/>
    <w:link w:val="Tsitaat"/>
    <w:uiPriority w:val="29"/>
    <w:rsid w:val="004410B6"/>
    <w:rPr>
      <w:i/>
      <w:iCs/>
      <w:color w:val="404040" w:themeColor="text1" w:themeTint="BF"/>
    </w:rPr>
  </w:style>
  <w:style w:type="paragraph" w:styleId="Loendilik">
    <w:name w:val="List Paragraph"/>
    <w:basedOn w:val="Normaallaad"/>
    <w:uiPriority w:val="34"/>
    <w:qFormat/>
    <w:rsid w:val="004410B6"/>
    <w:pPr>
      <w:ind w:left="720"/>
      <w:contextualSpacing/>
    </w:pPr>
  </w:style>
  <w:style w:type="character" w:styleId="Selgeltmrgatavrhutus">
    <w:name w:val="Intense Emphasis"/>
    <w:basedOn w:val="Liguvaikefont"/>
    <w:uiPriority w:val="21"/>
    <w:qFormat/>
    <w:rsid w:val="004410B6"/>
    <w:rPr>
      <w:i/>
      <w:iCs/>
      <w:color w:val="0F4761" w:themeColor="accent1" w:themeShade="BF"/>
    </w:rPr>
  </w:style>
  <w:style w:type="paragraph" w:styleId="Selgeltmrgatavtsitaat">
    <w:name w:val="Intense Quote"/>
    <w:basedOn w:val="Normaallaad"/>
    <w:next w:val="Normaallaad"/>
    <w:link w:val="SelgeltmrgatavtsitaatMrk"/>
    <w:uiPriority w:val="30"/>
    <w:qFormat/>
    <w:rsid w:val="00441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410B6"/>
    <w:rPr>
      <w:i/>
      <w:iCs/>
      <w:color w:val="0F4761" w:themeColor="accent1" w:themeShade="BF"/>
    </w:rPr>
  </w:style>
  <w:style w:type="character" w:styleId="Selgeltmrgatavviide">
    <w:name w:val="Intense Reference"/>
    <w:basedOn w:val="Liguvaikefont"/>
    <w:uiPriority w:val="32"/>
    <w:qFormat/>
    <w:rsid w:val="004410B6"/>
    <w:rPr>
      <w:b/>
      <w:bCs/>
      <w:smallCaps/>
      <w:color w:val="0F4761" w:themeColor="accent1" w:themeShade="BF"/>
      <w:spacing w:val="5"/>
    </w:rPr>
  </w:style>
  <w:style w:type="table" w:styleId="Kontuurtabel">
    <w:name w:val="Table Grid"/>
    <w:basedOn w:val="Normaaltabel"/>
    <w:uiPriority w:val="39"/>
    <w:rsid w:val="00A06A66"/>
    <w:pPr>
      <w:spacing w:after="0" w:line="240" w:lineRule="auto"/>
    </w:pPr>
    <w:rPr>
      <w:rFonts w:ascii="Times New Roman" w:eastAsia="Times New Roman" w:hAnsi="Times New Roman" w:cs="Times New Roman"/>
      <w:kern w:val="0"/>
      <w:sz w:val="22"/>
      <w:szCs w:val="22"/>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A06A66"/>
    <w:pPr>
      <w:spacing w:after="0" w:line="240" w:lineRule="auto"/>
    </w:pPr>
    <w:rPr>
      <w:rFonts w:ascii="Arial" w:eastAsia="Times New Roman" w:hAnsi="Arial" w:cs="Times New Roman"/>
      <w:spacing w:val="-5"/>
      <w:kern w:val="0"/>
      <w:sz w:val="20"/>
      <w:szCs w:val="20"/>
      <w14:ligatures w14:val="none"/>
    </w:rPr>
  </w:style>
  <w:style w:type="character" w:customStyle="1" w:styleId="AllmrkusetekstMrk">
    <w:name w:val="Allmärkuse tekst Märk"/>
    <w:basedOn w:val="Liguvaikefont"/>
    <w:link w:val="Allmrkusetekst"/>
    <w:uiPriority w:val="99"/>
    <w:rsid w:val="00A06A66"/>
    <w:rPr>
      <w:rFonts w:ascii="Arial" w:eastAsia="Times New Roman" w:hAnsi="Arial" w:cs="Times New Roman"/>
      <w:spacing w:val="-5"/>
      <w:kern w:val="0"/>
      <w:sz w:val="20"/>
      <w:szCs w:val="20"/>
      <w14:ligatures w14:val="none"/>
    </w:rPr>
  </w:style>
  <w:style w:type="character" w:styleId="Allmrkuseviide">
    <w:name w:val="footnote reference"/>
    <w:basedOn w:val="Liguvaikefont"/>
    <w:uiPriority w:val="99"/>
    <w:rsid w:val="00A06A66"/>
    <w:rPr>
      <w:vertAlign w:val="superscript"/>
    </w:rPr>
  </w:style>
  <w:style w:type="character" w:styleId="Hperlink">
    <w:name w:val="Hyperlink"/>
    <w:basedOn w:val="Liguvaikefont"/>
    <w:uiPriority w:val="99"/>
    <w:rsid w:val="00A06A66"/>
    <w:rPr>
      <w:color w:val="467886" w:themeColor="hyperlink"/>
      <w:u w:val="single"/>
    </w:rPr>
  </w:style>
  <w:style w:type="paragraph" w:styleId="Pis">
    <w:name w:val="header"/>
    <w:basedOn w:val="Normaallaad"/>
    <w:link w:val="PisMrk"/>
    <w:uiPriority w:val="99"/>
    <w:semiHidden/>
    <w:unhideWhenUsed/>
    <w:rsid w:val="004A20ED"/>
    <w:pPr>
      <w:tabs>
        <w:tab w:val="center" w:pos="4536"/>
        <w:tab w:val="right" w:pos="9072"/>
      </w:tabs>
      <w:spacing w:after="0" w:line="240" w:lineRule="auto"/>
    </w:pPr>
  </w:style>
  <w:style w:type="character" w:customStyle="1" w:styleId="PisMrk">
    <w:name w:val="Päis Märk"/>
    <w:basedOn w:val="Liguvaikefont"/>
    <w:link w:val="Pis"/>
    <w:uiPriority w:val="99"/>
    <w:semiHidden/>
    <w:rsid w:val="004A20ED"/>
  </w:style>
  <w:style w:type="paragraph" w:styleId="Jalus">
    <w:name w:val="footer"/>
    <w:basedOn w:val="Normaallaad"/>
    <w:link w:val="JalusMrk"/>
    <w:uiPriority w:val="99"/>
    <w:semiHidden/>
    <w:unhideWhenUsed/>
    <w:rsid w:val="004A20ED"/>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4A20ED"/>
  </w:style>
  <w:style w:type="paragraph" w:styleId="Kommentaaritekst">
    <w:name w:val="annotation text"/>
    <w:basedOn w:val="Normaallaad"/>
    <w:link w:val="KommentaaritekstMrk"/>
    <w:uiPriority w:val="99"/>
    <w:unhideWhenUsed/>
    <w:rsid w:val="00CF0231"/>
    <w:pPr>
      <w:spacing w:line="240" w:lineRule="auto"/>
    </w:pPr>
    <w:rPr>
      <w:sz w:val="20"/>
      <w:szCs w:val="20"/>
    </w:rPr>
  </w:style>
  <w:style w:type="character" w:customStyle="1" w:styleId="KommentaaritekstMrk">
    <w:name w:val="Kommentaari tekst Märk"/>
    <w:basedOn w:val="Liguvaikefont"/>
    <w:link w:val="Kommentaaritekst"/>
    <w:uiPriority w:val="99"/>
    <w:rsid w:val="00CF0231"/>
    <w:rPr>
      <w:sz w:val="20"/>
      <w:szCs w:val="20"/>
    </w:rPr>
  </w:style>
  <w:style w:type="character" w:styleId="Kommentaariviide">
    <w:name w:val="annotation reference"/>
    <w:basedOn w:val="Liguvaikefont"/>
    <w:uiPriority w:val="99"/>
    <w:semiHidden/>
    <w:unhideWhenUsed/>
    <w:rsid w:val="00CF0231"/>
    <w:rPr>
      <w:sz w:val="16"/>
      <w:szCs w:val="16"/>
    </w:rPr>
  </w:style>
  <w:style w:type="paragraph" w:styleId="Redaktsioon">
    <w:name w:val="Revision"/>
    <w:hidden/>
    <w:uiPriority w:val="99"/>
    <w:semiHidden/>
    <w:rsid w:val="0037639C"/>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272526"/>
    <w:rPr>
      <w:b/>
      <w:bCs/>
    </w:rPr>
  </w:style>
  <w:style w:type="character" w:customStyle="1" w:styleId="KommentaariteemaMrk">
    <w:name w:val="Kommentaari teema Märk"/>
    <w:basedOn w:val="KommentaaritekstMrk"/>
    <w:link w:val="Kommentaariteema"/>
    <w:uiPriority w:val="99"/>
    <w:semiHidden/>
    <w:rsid w:val="00272526"/>
    <w:rPr>
      <w:b/>
      <w:bCs/>
      <w:sz w:val="20"/>
      <w:szCs w:val="20"/>
    </w:rPr>
  </w:style>
  <w:style w:type="character" w:styleId="Mainimine">
    <w:name w:val="Mention"/>
    <w:basedOn w:val="Liguvaikefont"/>
    <w:uiPriority w:val="99"/>
    <w:unhideWhenUsed/>
    <w:rsid w:val="00810F84"/>
    <w:rPr>
      <w:color w:val="2B579A"/>
      <w:shd w:val="clear" w:color="auto" w:fill="E1DFDD"/>
    </w:rPr>
  </w:style>
  <w:style w:type="character" w:styleId="Lahendamatamainimine">
    <w:name w:val="Unresolved Mention"/>
    <w:basedOn w:val="Liguvaikefont"/>
    <w:uiPriority w:val="99"/>
    <w:semiHidden/>
    <w:unhideWhenUsed/>
    <w:rsid w:val="002D0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in.ee/sites/default/files/documents/2024-12/Riigihangete%20lihtsustamine.%20Lo%CC%83pparuanne%2016.12.2024%20final.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tat.ee/et/avasta-statistikat/valdkonnad/rahandus/hinnad/tarbijahinnaindek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fdc7d447-b6f5-46bd-b305-55a600c88d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FBE2CB6E36FE48A2CE666EA57B184A" ma:contentTypeVersion="14" ma:contentTypeDescription="Loo uus dokument" ma:contentTypeScope="" ma:versionID="fc72b484ae3b6f87d6b70042e8e5107a">
  <xsd:schema xmlns:xsd="http://www.w3.org/2001/XMLSchema" xmlns:xs="http://www.w3.org/2001/XMLSchema" xmlns:p="http://schemas.microsoft.com/office/2006/metadata/properties" xmlns:ns2="fdc7d447-b6f5-46bd-b305-55a600c88dba" xmlns:ns3="3d7fb3fa-7f75-4382-a1fe-43b99e0a9782" targetNamespace="http://schemas.microsoft.com/office/2006/metadata/properties" ma:root="true" ma:fieldsID="225963a4ed07fccbb850fb35c7373cf0" ns2:_="" ns3:_="">
    <xsd:import namespace="fdc7d447-b6f5-46bd-b305-55a600c88dba"/>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d447-b6f5-46bd-b305-55a600c88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65ed83-17bd-40f8-9bdc-5f711162617e}"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63A2B-FB07-460C-8A56-D63A10587041}">
  <ds:schemaRefs>
    <ds:schemaRef ds:uri="http://schemas.microsoft.com/office/2006/metadata/properties"/>
    <ds:schemaRef ds:uri="http://schemas.microsoft.com/office/infopath/2007/PartnerControls"/>
    <ds:schemaRef ds:uri="3d7fb3fa-7f75-4382-a1fe-43b99e0a9782"/>
    <ds:schemaRef ds:uri="fdc7d447-b6f5-46bd-b305-55a600c88dba"/>
  </ds:schemaRefs>
</ds:datastoreItem>
</file>

<file path=customXml/itemProps2.xml><?xml version="1.0" encoding="utf-8"?>
<ds:datastoreItem xmlns:ds="http://schemas.openxmlformats.org/officeDocument/2006/customXml" ds:itemID="{4D8E75EB-6C30-414A-9C60-D3E76CAD5F6A}">
  <ds:schemaRefs>
    <ds:schemaRef ds:uri="http://schemas.microsoft.com/sharepoint/v3/contenttype/forms"/>
  </ds:schemaRefs>
</ds:datastoreItem>
</file>

<file path=customXml/itemProps3.xml><?xml version="1.0" encoding="utf-8"?>
<ds:datastoreItem xmlns:ds="http://schemas.openxmlformats.org/officeDocument/2006/customXml" ds:itemID="{C43DB853-F926-4E44-9262-86785515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7d447-b6f5-46bd-b305-55a600c88dba"/>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2367</Words>
  <Characters>13732</Characters>
  <Application>Microsoft Office Word</Application>
  <DocSecurity>0</DocSecurity>
  <Lines>114</Lines>
  <Paragraphs>32</Paragraphs>
  <ScaleCrop>false</ScaleCrop>
  <Company/>
  <LinksUpToDate>false</LinksUpToDate>
  <CharactersWithSpaces>16067</CharactersWithSpaces>
  <SharedDoc>false</SharedDoc>
  <HLinks>
    <vt:vector size="12" baseType="variant">
      <vt:variant>
        <vt:i4>7733300</vt:i4>
      </vt:variant>
      <vt:variant>
        <vt:i4>0</vt:i4>
      </vt:variant>
      <vt:variant>
        <vt:i4>0</vt:i4>
      </vt:variant>
      <vt:variant>
        <vt:i4>5</vt:i4>
      </vt:variant>
      <vt:variant>
        <vt:lpwstr>https://fin.ee/sites/default/files/documents/2024-12/Riigihangete lihtsustamine. Lo%CC%83pparuanne 16.12.2024 final.pdf</vt:lpwstr>
      </vt:variant>
      <vt:variant>
        <vt:lpwstr/>
      </vt:variant>
      <vt:variant>
        <vt:i4>6291500</vt:i4>
      </vt:variant>
      <vt:variant>
        <vt:i4>0</vt:i4>
      </vt:variant>
      <vt:variant>
        <vt:i4>0</vt:i4>
      </vt:variant>
      <vt:variant>
        <vt:i4>5</vt:i4>
      </vt:variant>
      <vt:variant>
        <vt:lpwstr>https://stat.ee/et/avasta-statistikat/valdkonnad/rahandus/hinnad/tarbijahinnaindeks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Talu - RAM</dc:creator>
  <cp:keywords/>
  <dc:description/>
  <cp:lastModifiedBy>Madina Talu - RAM</cp:lastModifiedBy>
  <cp:revision>270</cp:revision>
  <dcterms:created xsi:type="dcterms:W3CDTF">2025-05-17T02:13:00Z</dcterms:created>
  <dcterms:modified xsi:type="dcterms:W3CDTF">2025-06-06T09:52:00Z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2025-05-15T13:03:09Z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c9b39536-3473-440d-bec7-81c97aa8d9e6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0x010100A8FBE2CB6E36FE48A2CE666EA57B184A</vt:lpwstr>
  </property>
  <property fmtid="{D5CDD505-2E9C-101B-9397-08002B2CF9AE}" pid="11" name="MediaServiceImageTags">
    <vt:lpwstr/>
  </property>
</Properties>
</file>